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Borders>
          <w:top w:val="nil"/>
          <w:left w:val="nil"/>
          <w:bottom w:val="nil"/>
          <w:right w:val="nil"/>
          <w:insideH w:val="nil"/>
          <w:insideV w:val="nil"/>
        </w:tblBorders>
        <w:tblLook w:val="04A0" w:firstRow="1" w:lastRow="0" w:firstColumn="1" w:lastColumn="0" w:noHBand="0" w:noVBand="1"/>
      </w:tblPr>
      <w:tblGrid>
        <w:gridCol w:w="2232"/>
        <w:gridCol w:w="2160"/>
        <w:gridCol w:w="2232"/>
        <w:gridCol w:w="2160"/>
      </w:tblGrid>
      <w:tr w:rsidR="003F0957" w14:paraId="1BC0C315" w14:textId="77777777">
        <w:trPr>
          <w:trHeight w:hRule="exact" w:val="259"/>
          <w:jc w:val="center"/>
        </w:trPr>
        <w:tc>
          <w:tcPr>
            <w:tcW w:w="2232" w:type="dxa"/>
            <w:shd w:val="clear" w:color="auto" w:fill="7E3343"/>
          </w:tcPr>
          <w:p w14:paraId="1B04F3AC" w14:textId="77777777" w:rsidR="003F0957" w:rsidRDefault="003F0957">
            <w:bookmarkStart w:id="0" w:name="_GoBack"/>
            <w:bookmarkEnd w:id="0"/>
          </w:p>
        </w:tc>
        <w:tc>
          <w:tcPr>
            <w:tcW w:w="2160" w:type="dxa"/>
            <w:shd w:val="clear" w:color="auto" w:fill="B85C38"/>
          </w:tcPr>
          <w:p w14:paraId="2804CDC6" w14:textId="77777777" w:rsidR="003F0957" w:rsidRDefault="003F0957"/>
        </w:tc>
        <w:tc>
          <w:tcPr>
            <w:tcW w:w="2232" w:type="dxa"/>
            <w:shd w:val="clear" w:color="auto" w:fill="C58A2B"/>
          </w:tcPr>
          <w:p w14:paraId="5B56F8EC" w14:textId="77777777" w:rsidR="003F0957" w:rsidRDefault="003F0957"/>
        </w:tc>
        <w:tc>
          <w:tcPr>
            <w:tcW w:w="2160" w:type="dxa"/>
            <w:shd w:val="clear" w:color="auto" w:fill="6A4558"/>
          </w:tcPr>
          <w:p w14:paraId="32986754" w14:textId="77777777" w:rsidR="003F0957" w:rsidRDefault="003F0957"/>
        </w:tc>
      </w:tr>
    </w:tbl>
    <w:p w14:paraId="4D08ADA2" w14:textId="77777777" w:rsidR="003F0957" w:rsidRPr="00BE7F43" w:rsidRDefault="001269E1">
      <w:pPr>
        <w:spacing w:before="240" w:after="0" w:line="240" w:lineRule="auto"/>
        <w:jc w:val="center"/>
        <w:rPr>
          <w:sz w:val="22"/>
          <w:szCs w:val="24"/>
        </w:rPr>
      </w:pPr>
      <w:r w:rsidRPr="00BE7F43">
        <w:rPr>
          <w:rFonts w:ascii="EB Garamond" w:hAnsi="EB Garamond"/>
          <w:b/>
          <w:color w:val="2B201C"/>
          <w:sz w:val="72"/>
          <w:szCs w:val="24"/>
        </w:rPr>
        <w:t>PhD Symposium 2026</w:t>
      </w:r>
    </w:p>
    <w:p w14:paraId="60F9F1BF" w14:textId="77777777" w:rsidR="003F0957" w:rsidRPr="00BE7F43" w:rsidRDefault="001269E1">
      <w:pPr>
        <w:spacing w:after="160" w:line="240" w:lineRule="auto"/>
        <w:jc w:val="center"/>
        <w:rPr>
          <w:sz w:val="36"/>
          <w:szCs w:val="40"/>
        </w:rPr>
      </w:pPr>
      <w:r w:rsidRPr="00BE7F43">
        <w:rPr>
          <w:b/>
          <w:color w:val="B85C38"/>
          <w:sz w:val="32"/>
          <w:szCs w:val="40"/>
        </w:rPr>
        <w:t>PROGRAMME</w:t>
      </w:r>
    </w:p>
    <w:p w14:paraId="6FBC1AAE" w14:textId="77777777" w:rsidR="003F0957" w:rsidRPr="00BE7F43" w:rsidRDefault="001269E1">
      <w:pPr>
        <w:spacing w:after="0" w:line="240" w:lineRule="auto"/>
        <w:jc w:val="center"/>
        <w:rPr>
          <w:sz w:val="22"/>
          <w:szCs w:val="24"/>
        </w:rPr>
      </w:pPr>
      <w:r w:rsidRPr="00BE7F43">
        <w:rPr>
          <w:rFonts w:ascii="EB Garamond" w:hAnsi="EB Garamond"/>
          <w:color w:val="2B201C"/>
          <w:sz w:val="28"/>
          <w:szCs w:val="24"/>
        </w:rPr>
        <w:t>Department of English Language and Literature</w:t>
      </w:r>
    </w:p>
    <w:p w14:paraId="1E586D70" w14:textId="77777777" w:rsidR="003F0957" w:rsidRPr="00BE7F43" w:rsidRDefault="001269E1">
      <w:pPr>
        <w:spacing w:after="0" w:line="240" w:lineRule="auto"/>
        <w:jc w:val="center"/>
        <w:rPr>
          <w:sz w:val="22"/>
          <w:szCs w:val="24"/>
        </w:rPr>
      </w:pPr>
      <w:r w:rsidRPr="00BE7F43">
        <w:rPr>
          <w:rFonts w:ascii="EB Garamond" w:hAnsi="EB Garamond"/>
          <w:color w:val="2B201C"/>
          <w:sz w:val="28"/>
          <w:szCs w:val="24"/>
        </w:rPr>
        <w:t>Division of Literature &amp; Culture</w:t>
      </w:r>
    </w:p>
    <w:p w14:paraId="416B2EA4" w14:textId="77777777" w:rsidR="003F0957" w:rsidRPr="00BE7F43" w:rsidRDefault="001269E1">
      <w:pPr>
        <w:spacing w:after="0" w:line="240" w:lineRule="auto"/>
        <w:jc w:val="center"/>
        <w:rPr>
          <w:sz w:val="22"/>
          <w:szCs w:val="24"/>
        </w:rPr>
      </w:pPr>
      <w:r w:rsidRPr="00BE7F43">
        <w:rPr>
          <w:rFonts w:ascii="EB Garamond" w:hAnsi="EB Garamond"/>
          <w:color w:val="2B201C"/>
          <w:sz w:val="28"/>
          <w:szCs w:val="24"/>
        </w:rPr>
        <w:t xml:space="preserve">National and </w:t>
      </w:r>
      <w:proofErr w:type="spellStart"/>
      <w:r w:rsidRPr="00BE7F43">
        <w:rPr>
          <w:rFonts w:ascii="EB Garamond" w:hAnsi="EB Garamond"/>
          <w:color w:val="2B201C"/>
          <w:sz w:val="28"/>
          <w:szCs w:val="24"/>
        </w:rPr>
        <w:t>Kapodistrian</w:t>
      </w:r>
      <w:proofErr w:type="spellEnd"/>
      <w:r w:rsidRPr="00BE7F43">
        <w:rPr>
          <w:rFonts w:ascii="EB Garamond" w:hAnsi="EB Garamond"/>
          <w:color w:val="2B201C"/>
          <w:sz w:val="28"/>
          <w:szCs w:val="24"/>
        </w:rPr>
        <w:t xml:space="preserve"> University of Athens</w:t>
      </w:r>
    </w:p>
    <w:p w14:paraId="47E911F5" w14:textId="77777777" w:rsidR="003F0957" w:rsidRDefault="00963338">
      <w:pPr>
        <w:spacing w:before="100" w:after="160" w:line="240" w:lineRule="auto"/>
        <w:jc w:val="center"/>
      </w:pPr>
      <w:r w:rsidRPr="00530D34">
        <w:rPr>
          <w:noProof/>
          <w:lang w:val="el-GR" w:eastAsia="el-GR"/>
        </w:rPr>
        <w:drawing>
          <wp:anchor distT="0" distB="0" distL="114300" distR="114300" simplePos="0" relativeHeight="251658240" behindDoc="0" locked="0" layoutInCell="1" allowOverlap="1" wp14:anchorId="36241F35" wp14:editId="0558578D">
            <wp:simplePos x="0" y="0"/>
            <wp:positionH relativeFrom="column">
              <wp:posOffset>236220</wp:posOffset>
            </wp:positionH>
            <wp:positionV relativeFrom="paragraph">
              <wp:posOffset>452755</wp:posOffset>
            </wp:positionV>
            <wp:extent cx="5780405" cy="3543300"/>
            <wp:effectExtent l="0" t="0" r="0" b="0"/>
            <wp:wrapSquare wrapText="bothSides"/>
            <wp:docPr id="33160048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600483" name=""/>
                    <pic:cNvPicPr/>
                  </pic:nvPicPr>
                  <pic:blipFill>
                    <a:blip r:embed="rId9"/>
                    <a:stretch>
                      <a:fillRect/>
                    </a:stretch>
                  </pic:blipFill>
                  <pic:spPr>
                    <a:xfrm>
                      <a:off x="0" y="0"/>
                      <a:ext cx="5780405" cy="3543300"/>
                    </a:xfrm>
                    <a:prstGeom prst="rect">
                      <a:avLst/>
                    </a:prstGeom>
                  </pic:spPr>
                </pic:pic>
              </a:graphicData>
            </a:graphic>
            <wp14:sizeRelH relativeFrom="margin">
              <wp14:pctWidth>0</wp14:pctWidth>
            </wp14:sizeRelH>
            <wp14:sizeRelV relativeFrom="margin">
              <wp14:pctHeight>0</wp14:pctHeight>
            </wp14:sizeRelV>
          </wp:anchor>
        </w:drawing>
      </w:r>
      <w:r w:rsidR="001269E1">
        <w:rPr>
          <w:b/>
          <w:color w:val="7E3343"/>
          <w:sz w:val="18"/>
        </w:rPr>
        <w:t xml:space="preserve">24 October </w:t>
      </w:r>
      <w:proofErr w:type="gramStart"/>
      <w:r w:rsidR="001269E1">
        <w:rPr>
          <w:b/>
          <w:color w:val="7E3343"/>
          <w:sz w:val="18"/>
        </w:rPr>
        <w:t>2026  •</w:t>
      </w:r>
      <w:proofErr w:type="gramEnd"/>
      <w:r w:rsidR="001269E1">
        <w:rPr>
          <w:b/>
          <w:color w:val="7E3343"/>
          <w:sz w:val="18"/>
        </w:rPr>
        <w:t xml:space="preserve">  09:00–17:00</w:t>
      </w:r>
    </w:p>
    <w:p w14:paraId="5362CFAD" w14:textId="77777777" w:rsidR="00BE7F43" w:rsidRDefault="00BE7F43" w:rsidP="00BE7F43">
      <w:pPr>
        <w:spacing w:after="0" w:line="240" w:lineRule="auto"/>
      </w:pPr>
    </w:p>
    <w:p w14:paraId="10C5FA5D" w14:textId="77777777" w:rsidR="003F0957" w:rsidRDefault="001269E1" w:rsidP="00BE7F43">
      <w:pPr>
        <w:spacing w:after="0" w:line="240" w:lineRule="auto"/>
        <w:jc w:val="center"/>
      </w:pPr>
      <w:r>
        <w:rPr>
          <w:b/>
          <w:color w:val="8A776A"/>
          <w:sz w:val="14"/>
        </w:rPr>
        <w:t>Kara Walker</w:t>
      </w:r>
    </w:p>
    <w:p w14:paraId="16228573" w14:textId="77777777" w:rsidR="003F0957" w:rsidRDefault="001269E1">
      <w:pPr>
        <w:spacing w:after="0" w:line="240" w:lineRule="auto"/>
        <w:jc w:val="center"/>
      </w:pPr>
      <w:r>
        <w:rPr>
          <w:i/>
          <w:color w:val="8A776A"/>
          <w:sz w:val="14"/>
        </w:rPr>
        <w:t>The Mountaintop, 2025</w:t>
      </w:r>
    </w:p>
    <w:p w14:paraId="45664114" w14:textId="77777777" w:rsidR="003F0957" w:rsidRDefault="001269E1">
      <w:pPr>
        <w:spacing w:after="0" w:line="240" w:lineRule="auto"/>
        <w:jc w:val="center"/>
      </w:pPr>
      <w:r>
        <w:rPr>
          <w:color w:val="8A776A"/>
          <w:sz w:val="14"/>
        </w:rPr>
        <w:t xml:space="preserve">Watercolor and </w:t>
      </w:r>
      <w:proofErr w:type="spellStart"/>
      <w:r>
        <w:rPr>
          <w:color w:val="8A776A"/>
          <w:sz w:val="14"/>
        </w:rPr>
        <w:t>sumi</w:t>
      </w:r>
      <w:proofErr w:type="spellEnd"/>
      <w:r>
        <w:rPr>
          <w:color w:val="8A776A"/>
          <w:sz w:val="14"/>
        </w:rPr>
        <w:t>-e ink on cut paper on paper</w:t>
      </w:r>
    </w:p>
    <w:p w14:paraId="7EDB6DDC" w14:textId="77777777" w:rsidR="003F0957" w:rsidRDefault="001269E1">
      <w:pPr>
        <w:spacing w:after="0" w:line="240" w:lineRule="auto"/>
        <w:jc w:val="center"/>
      </w:pPr>
      <w:r>
        <w:rPr>
          <w:color w:val="8A776A"/>
          <w:sz w:val="14"/>
        </w:rPr>
        <w:t>199.4 x 331.5 cm | 78 1/2 x 130 1/2 inches</w:t>
      </w:r>
    </w:p>
    <w:p w14:paraId="431289B5" w14:textId="77777777" w:rsidR="003F0957" w:rsidRDefault="001269E1">
      <w:pPr>
        <w:spacing w:after="0" w:line="240" w:lineRule="auto"/>
        <w:jc w:val="center"/>
      </w:pPr>
      <w:r>
        <w:rPr>
          <w:color w:val="8A776A"/>
          <w:sz w:val="14"/>
        </w:rPr>
        <w:t>© Kara Walker</w:t>
      </w:r>
    </w:p>
    <w:p w14:paraId="3939B71A" w14:textId="77777777" w:rsidR="003F0957" w:rsidRDefault="001269E1">
      <w:pPr>
        <w:spacing w:after="0" w:line="240" w:lineRule="auto"/>
        <w:jc w:val="center"/>
      </w:pPr>
      <w:r>
        <w:rPr>
          <w:color w:val="8A776A"/>
          <w:sz w:val="14"/>
        </w:rPr>
        <w:t xml:space="preserve">Courtesy </w:t>
      </w:r>
      <w:proofErr w:type="spellStart"/>
      <w:r>
        <w:rPr>
          <w:color w:val="8A776A"/>
          <w:sz w:val="14"/>
        </w:rPr>
        <w:t>Sprüth</w:t>
      </w:r>
      <w:proofErr w:type="spellEnd"/>
      <w:r>
        <w:rPr>
          <w:color w:val="8A776A"/>
          <w:sz w:val="14"/>
        </w:rPr>
        <w:t xml:space="preserve"> </w:t>
      </w:r>
      <w:proofErr w:type="spellStart"/>
      <w:r>
        <w:rPr>
          <w:color w:val="8A776A"/>
          <w:sz w:val="14"/>
        </w:rPr>
        <w:t>Magers</w:t>
      </w:r>
      <w:proofErr w:type="spellEnd"/>
    </w:p>
    <w:p w14:paraId="76322BD2" w14:textId="77777777" w:rsidR="003F0957" w:rsidRDefault="001269E1">
      <w:pPr>
        <w:spacing w:after="0" w:line="240" w:lineRule="auto"/>
        <w:jc w:val="center"/>
      </w:pPr>
      <w:r>
        <w:rPr>
          <w:color w:val="8A776A"/>
          <w:sz w:val="14"/>
        </w:rPr>
        <w:t xml:space="preserve">Photo: Jason </w:t>
      </w:r>
      <w:proofErr w:type="spellStart"/>
      <w:r>
        <w:rPr>
          <w:color w:val="8A776A"/>
          <w:sz w:val="14"/>
        </w:rPr>
        <w:t>Wyche</w:t>
      </w:r>
      <w:proofErr w:type="spellEnd"/>
    </w:p>
    <w:p w14:paraId="7DC80D26" w14:textId="77777777" w:rsidR="003F0957" w:rsidRPr="00A72C6A" w:rsidRDefault="00213E83">
      <w:pPr>
        <w:spacing w:after="100" w:line="240" w:lineRule="auto"/>
        <w:jc w:val="center"/>
        <w:rPr>
          <w:i/>
          <w:iCs/>
        </w:rPr>
      </w:pPr>
      <w:hyperlink r:id="rId10">
        <w:r w:rsidR="001269E1" w:rsidRPr="00A72C6A">
          <w:rPr>
            <w:i/>
            <w:iCs/>
            <w:color w:val="8A776A"/>
            <w:sz w:val="14"/>
          </w:rPr>
          <w:t>https://www.gallery-weekend-berlin.de/journal/spruth-magers-kara-walker/</w:t>
        </w:r>
      </w:hyperlink>
    </w:p>
    <w:p w14:paraId="7EAD605D" w14:textId="77777777" w:rsidR="00BE7F43" w:rsidRDefault="00BE7F43">
      <w:pPr>
        <w:spacing w:before="40" w:after="0" w:line="240" w:lineRule="auto"/>
        <w:jc w:val="center"/>
        <w:rPr>
          <w:rFonts w:ascii="EB Garamond" w:hAnsi="EB Garamond"/>
          <w:i/>
          <w:color w:val="8A776A"/>
        </w:rPr>
      </w:pPr>
    </w:p>
    <w:p w14:paraId="5C56CFD6" w14:textId="77777777" w:rsidR="00BE7F43" w:rsidRDefault="00BE7F43">
      <w:pPr>
        <w:spacing w:before="40" w:after="0" w:line="240" w:lineRule="auto"/>
        <w:jc w:val="center"/>
        <w:rPr>
          <w:rFonts w:ascii="EB Garamond" w:hAnsi="EB Garamond"/>
          <w:i/>
          <w:color w:val="8A776A"/>
        </w:rPr>
      </w:pPr>
    </w:p>
    <w:p w14:paraId="09702EEB" w14:textId="77777777" w:rsidR="003F0957" w:rsidRPr="00193974" w:rsidRDefault="001269E1">
      <w:pPr>
        <w:spacing w:before="40" w:after="0" w:line="240" w:lineRule="auto"/>
        <w:jc w:val="center"/>
        <w:rPr>
          <w:color w:val="632423" w:themeColor="accent2" w:themeShade="80"/>
          <w:sz w:val="28"/>
          <w:szCs w:val="32"/>
        </w:rPr>
      </w:pPr>
      <w:r w:rsidRPr="00193974">
        <w:rPr>
          <w:rFonts w:ascii="EB Garamond" w:hAnsi="EB Garamond"/>
          <w:i/>
          <w:color w:val="632423" w:themeColor="accent2" w:themeShade="80"/>
          <w:sz w:val="28"/>
          <w:szCs w:val="32"/>
        </w:rPr>
        <w:t>Amphitheatre of the Library of the School of Philosophy</w:t>
      </w:r>
    </w:p>
    <w:p w14:paraId="2FC4AF9C" w14:textId="77777777" w:rsidR="003F0957" w:rsidRPr="00193974" w:rsidRDefault="001269E1">
      <w:pPr>
        <w:spacing w:after="0" w:line="240" w:lineRule="auto"/>
        <w:jc w:val="center"/>
        <w:rPr>
          <w:color w:val="632423" w:themeColor="accent2" w:themeShade="80"/>
          <w:sz w:val="28"/>
          <w:szCs w:val="32"/>
        </w:rPr>
      </w:pPr>
      <w:proofErr w:type="spellStart"/>
      <w:r w:rsidRPr="00193974">
        <w:rPr>
          <w:rFonts w:ascii="EB Garamond" w:hAnsi="EB Garamond"/>
          <w:i/>
          <w:color w:val="632423" w:themeColor="accent2" w:themeShade="80"/>
          <w:sz w:val="28"/>
          <w:szCs w:val="32"/>
        </w:rPr>
        <w:t>Zografou</w:t>
      </w:r>
      <w:proofErr w:type="spellEnd"/>
      <w:r w:rsidRPr="00193974">
        <w:rPr>
          <w:rFonts w:ascii="EB Garamond" w:hAnsi="EB Garamond"/>
          <w:i/>
          <w:color w:val="632423" w:themeColor="accent2" w:themeShade="80"/>
          <w:sz w:val="28"/>
          <w:szCs w:val="32"/>
        </w:rPr>
        <w:t xml:space="preserve"> University Campus, Athens</w:t>
      </w:r>
    </w:p>
    <w:p w14:paraId="2791BD07" w14:textId="77777777" w:rsidR="003F0957" w:rsidRPr="00BE7F43" w:rsidRDefault="001269E1">
      <w:pPr>
        <w:rPr>
          <w:sz w:val="28"/>
          <w:szCs w:val="32"/>
        </w:rPr>
      </w:pPr>
      <w:r w:rsidRPr="00BE7F43">
        <w:rPr>
          <w:sz w:val="28"/>
          <w:szCs w:val="32"/>
        </w:rPr>
        <w:br w:type="page"/>
      </w:r>
    </w:p>
    <w:p w14:paraId="1D0D88B7" w14:textId="77777777" w:rsidR="003F0957" w:rsidRDefault="001269E1">
      <w:pPr>
        <w:pBdr>
          <w:bottom w:val="single" w:sz="14" w:space="5" w:color="B85C38"/>
        </w:pBdr>
        <w:spacing w:after="140" w:line="240" w:lineRule="auto"/>
      </w:pPr>
      <w:r>
        <w:rPr>
          <w:rFonts w:ascii="EB Garamond" w:hAnsi="EB Garamond"/>
          <w:b/>
          <w:color w:val="2B201C"/>
          <w:sz w:val="34"/>
        </w:rPr>
        <w:lastRenderedPageBreak/>
        <w:t>PROGRAMME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656"/>
        <w:gridCol w:w="8424"/>
      </w:tblGrid>
      <w:tr w:rsidR="003F0957" w:rsidRPr="00193974" w14:paraId="1FB3B678" w14:textId="77777777" w:rsidTr="00BA48F0">
        <w:trPr>
          <w:trHeight w:val="680"/>
          <w:jc w:val="center"/>
        </w:trPr>
        <w:tc>
          <w:tcPr>
            <w:tcW w:w="1656" w:type="dxa"/>
            <w:shd w:val="clear" w:color="auto" w:fill="EADCCB"/>
            <w:tcMar>
              <w:top w:w="120" w:type="dxa"/>
              <w:left w:w="130" w:type="dxa"/>
              <w:bottom w:w="120" w:type="dxa"/>
              <w:right w:w="130" w:type="dxa"/>
            </w:tcMar>
            <w:vAlign w:val="center"/>
          </w:tcPr>
          <w:p w14:paraId="2B429FC9" w14:textId="77777777" w:rsidR="003F0957" w:rsidRPr="00193974" w:rsidRDefault="001269E1">
            <w:pPr>
              <w:spacing w:after="0" w:line="240" w:lineRule="auto"/>
              <w:jc w:val="center"/>
              <w:rPr>
                <w:szCs w:val="28"/>
              </w:rPr>
            </w:pPr>
            <w:r w:rsidRPr="00193974">
              <w:rPr>
                <w:b/>
                <w:color w:val="2B201C"/>
                <w:szCs w:val="28"/>
              </w:rPr>
              <w:t>09:00–09:20</w:t>
            </w:r>
          </w:p>
        </w:tc>
        <w:tc>
          <w:tcPr>
            <w:tcW w:w="8424" w:type="dxa"/>
            <w:shd w:val="clear" w:color="auto" w:fill="EADCCB"/>
            <w:tcMar>
              <w:top w:w="120" w:type="dxa"/>
              <w:left w:w="130" w:type="dxa"/>
              <w:bottom w:w="120" w:type="dxa"/>
              <w:right w:w="130" w:type="dxa"/>
            </w:tcMar>
            <w:vAlign w:val="center"/>
          </w:tcPr>
          <w:p w14:paraId="35F8AA8D" w14:textId="77777777" w:rsidR="003F0957" w:rsidRPr="00193974" w:rsidRDefault="001269E1">
            <w:pPr>
              <w:spacing w:after="0" w:line="240" w:lineRule="auto"/>
              <w:rPr>
                <w:b/>
                <w:bCs/>
                <w:szCs w:val="28"/>
              </w:rPr>
            </w:pPr>
            <w:r w:rsidRPr="00193974">
              <w:rPr>
                <w:b/>
                <w:bCs/>
                <w:color w:val="2B201C"/>
                <w:szCs w:val="28"/>
              </w:rPr>
              <w:t>Arrival</w:t>
            </w:r>
          </w:p>
        </w:tc>
      </w:tr>
      <w:tr w:rsidR="003F0957" w:rsidRPr="00193974" w14:paraId="5258DB12" w14:textId="77777777" w:rsidTr="00BA48F0">
        <w:trPr>
          <w:trHeight w:val="680"/>
          <w:jc w:val="center"/>
        </w:trPr>
        <w:tc>
          <w:tcPr>
            <w:tcW w:w="1656" w:type="dxa"/>
            <w:shd w:val="clear" w:color="auto" w:fill="EADCCB"/>
            <w:tcMar>
              <w:top w:w="120" w:type="dxa"/>
              <w:left w:w="130" w:type="dxa"/>
              <w:bottom w:w="120" w:type="dxa"/>
              <w:right w:w="130" w:type="dxa"/>
            </w:tcMar>
            <w:vAlign w:val="center"/>
          </w:tcPr>
          <w:p w14:paraId="4C6BEBDD" w14:textId="77777777" w:rsidR="003F0957" w:rsidRPr="00193974" w:rsidRDefault="001269E1">
            <w:pPr>
              <w:spacing w:after="0" w:line="240" w:lineRule="auto"/>
              <w:jc w:val="center"/>
              <w:rPr>
                <w:szCs w:val="28"/>
              </w:rPr>
            </w:pPr>
            <w:r w:rsidRPr="00193974">
              <w:rPr>
                <w:b/>
                <w:color w:val="2B201C"/>
                <w:szCs w:val="28"/>
              </w:rPr>
              <w:t>09:20–09:30</w:t>
            </w:r>
          </w:p>
        </w:tc>
        <w:tc>
          <w:tcPr>
            <w:tcW w:w="8424" w:type="dxa"/>
            <w:shd w:val="clear" w:color="auto" w:fill="EADCCB"/>
            <w:tcMar>
              <w:top w:w="120" w:type="dxa"/>
              <w:left w:w="130" w:type="dxa"/>
              <w:bottom w:w="120" w:type="dxa"/>
              <w:right w:w="130" w:type="dxa"/>
            </w:tcMar>
            <w:vAlign w:val="center"/>
          </w:tcPr>
          <w:p w14:paraId="6344680E" w14:textId="790D0AB8" w:rsidR="003F0957" w:rsidRPr="00193974" w:rsidRDefault="001269E1">
            <w:pPr>
              <w:spacing w:after="0" w:line="240" w:lineRule="auto"/>
              <w:rPr>
                <w:szCs w:val="28"/>
              </w:rPr>
            </w:pPr>
            <w:r w:rsidRPr="00193974">
              <w:rPr>
                <w:b/>
                <w:bCs/>
                <w:color w:val="2B201C"/>
                <w:szCs w:val="28"/>
              </w:rPr>
              <w:t>Welcome address</w:t>
            </w:r>
            <w:r w:rsidRPr="00193974">
              <w:rPr>
                <w:b/>
                <w:bCs/>
                <w:color w:val="2B201C"/>
                <w:szCs w:val="28"/>
              </w:rPr>
              <w:br/>
            </w:r>
            <w:r w:rsidR="003A1E81">
              <w:rPr>
                <w:b/>
                <w:bCs/>
                <w:color w:val="2B201C"/>
                <w:szCs w:val="28"/>
              </w:rPr>
              <w:t xml:space="preserve">Anna </w:t>
            </w:r>
            <w:proofErr w:type="spellStart"/>
            <w:r w:rsidR="003A1E81">
              <w:rPr>
                <w:b/>
                <w:bCs/>
                <w:color w:val="2B201C"/>
                <w:szCs w:val="28"/>
              </w:rPr>
              <w:t>Despotopoulou</w:t>
            </w:r>
            <w:proofErr w:type="spellEnd"/>
            <w:r w:rsidRPr="00193974">
              <w:rPr>
                <w:color w:val="2B201C"/>
                <w:szCs w:val="28"/>
              </w:rPr>
              <w:t xml:space="preserve"> | </w:t>
            </w:r>
            <w:r w:rsidR="003A1E81">
              <w:rPr>
                <w:color w:val="2B201C"/>
                <w:szCs w:val="28"/>
              </w:rPr>
              <w:t xml:space="preserve">Director of </w:t>
            </w:r>
            <w:r w:rsidR="00985227">
              <w:rPr>
                <w:color w:val="2B201C"/>
                <w:szCs w:val="28"/>
              </w:rPr>
              <w:t xml:space="preserve">the </w:t>
            </w:r>
            <w:r w:rsidR="003A1E81">
              <w:rPr>
                <w:color w:val="2B201C"/>
                <w:szCs w:val="28"/>
              </w:rPr>
              <w:t xml:space="preserve">Division </w:t>
            </w:r>
            <w:r w:rsidR="00671E76">
              <w:rPr>
                <w:color w:val="2B201C"/>
                <w:szCs w:val="28"/>
                <w:lang w:val="en-GB"/>
              </w:rPr>
              <w:t>“L</w:t>
            </w:r>
            <w:proofErr w:type="spellStart"/>
            <w:r w:rsidR="003A1E81" w:rsidRPr="00985227">
              <w:rPr>
                <w:color w:val="2B201C"/>
                <w:szCs w:val="28"/>
              </w:rPr>
              <w:t>iterature</w:t>
            </w:r>
            <w:proofErr w:type="spellEnd"/>
            <w:r w:rsidR="003A1E81" w:rsidRPr="00985227">
              <w:rPr>
                <w:color w:val="2B201C"/>
                <w:szCs w:val="28"/>
              </w:rPr>
              <w:t xml:space="preserve"> and Culture</w:t>
            </w:r>
            <w:r w:rsidR="00DC0BF0">
              <w:rPr>
                <w:color w:val="2B201C"/>
                <w:szCs w:val="28"/>
              </w:rPr>
              <w:t>,</w:t>
            </w:r>
            <w:r w:rsidR="00671E76">
              <w:rPr>
                <w:color w:val="2B201C"/>
                <w:szCs w:val="28"/>
              </w:rPr>
              <w:t>”</w:t>
            </w:r>
            <w:r w:rsidR="003A1E81">
              <w:rPr>
                <w:color w:val="2B201C"/>
                <w:szCs w:val="28"/>
              </w:rPr>
              <w:t xml:space="preserve"> </w:t>
            </w:r>
            <w:r w:rsidRPr="00193974">
              <w:rPr>
                <w:color w:val="2B201C"/>
                <w:szCs w:val="28"/>
              </w:rPr>
              <w:t>Department of English Language &amp; Literature</w:t>
            </w:r>
          </w:p>
        </w:tc>
      </w:tr>
      <w:tr w:rsidR="003F0957" w:rsidRPr="00193974" w14:paraId="782B7136" w14:textId="77777777" w:rsidTr="00BA48F0">
        <w:trPr>
          <w:trHeight w:val="680"/>
          <w:jc w:val="center"/>
        </w:trPr>
        <w:tc>
          <w:tcPr>
            <w:tcW w:w="1656" w:type="dxa"/>
            <w:shd w:val="clear" w:color="auto" w:fill="7E3343"/>
            <w:tcMar>
              <w:top w:w="120" w:type="dxa"/>
              <w:left w:w="130" w:type="dxa"/>
              <w:bottom w:w="120" w:type="dxa"/>
              <w:right w:w="130" w:type="dxa"/>
            </w:tcMar>
            <w:vAlign w:val="center"/>
          </w:tcPr>
          <w:p w14:paraId="35D9104A" w14:textId="77777777" w:rsidR="003F0957" w:rsidRPr="00193974" w:rsidRDefault="001269E1">
            <w:pPr>
              <w:spacing w:after="0" w:line="240" w:lineRule="auto"/>
              <w:jc w:val="center"/>
              <w:rPr>
                <w:szCs w:val="28"/>
              </w:rPr>
            </w:pPr>
            <w:r w:rsidRPr="00193974">
              <w:rPr>
                <w:b/>
                <w:color w:val="FFFFFF"/>
                <w:szCs w:val="28"/>
              </w:rPr>
              <w:t>09:30–11:10</w:t>
            </w:r>
          </w:p>
        </w:tc>
        <w:tc>
          <w:tcPr>
            <w:tcW w:w="8424" w:type="dxa"/>
            <w:shd w:val="clear" w:color="auto" w:fill="7E3343"/>
            <w:tcMar>
              <w:top w:w="120" w:type="dxa"/>
              <w:left w:w="130" w:type="dxa"/>
              <w:bottom w:w="120" w:type="dxa"/>
              <w:right w:w="130" w:type="dxa"/>
            </w:tcMar>
            <w:vAlign w:val="center"/>
          </w:tcPr>
          <w:p w14:paraId="6352BD0C" w14:textId="77777777" w:rsidR="003F0957" w:rsidRPr="00193974" w:rsidRDefault="001269E1">
            <w:pPr>
              <w:spacing w:after="0" w:line="240" w:lineRule="auto"/>
              <w:rPr>
                <w:szCs w:val="28"/>
              </w:rPr>
            </w:pPr>
            <w:r w:rsidRPr="00193974">
              <w:rPr>
                <w:rFonts w:ascii="EB Garamond" w:hAnsi="EB Garamond"/>
                <w:b/>
                <w:color w:val="FFFFFF"/>
                <w:sz w:val="28"/>
                <w:szCs w:val="40"/>
              </w:rPr>
              <w:t>PANEL 1:</w:t>
            </w:r>
            <w:r w:rsidRPr="00193974">
              <w:rPr>
                <w:rFonts w:ascii="EB Garamond" w:hAnsi="EB Garamond"/>
                <w:sz w:val="28"/>
                <w:szCs w:val="40"/>
              </w:rPr>
              <w:br/>
            </w:r>
            <w:r w:rsidRPr="00193974">
              <w:rPr>
                <w:rFonts w:ascii="EB Garamond" w:hAnsi="EB Garamond"/>
                <w:b/>
                <w:color w:val="FFFFFF"/>
                <w:sz w:val="28"/>
                <w:szCs w:val="40"/>
              </w:rPr>
              <w:t>Borders of Belonging: Nation, Hospitality, and the Other</w:t>
            </w:r>
            <w:r w:rsidRPr="00193974">
              <w:rPr>
                <w:szCs w:val="28"/>
              </w:rPr>
              <w:br/>
            </w:r>
            <w:r w:rsidRPr="00193974">
              <w:rPr>
                <w:bCs/>
                <w:i/>
                <w:color w:val="FFFFFF"/>
                <w:szCs w:val="28"/>
              </w:rPr>
              <w:t xml:space="preserve">Chair: Spyros </w:t>
            </w:r>
            <w:proofErr w:type="spellStart"/>
            <w:r w:rsidRPr="00193974">
              <w:rPr>
                <w:bCs/>
                <w:i/>
                <w:color w:val="FFFFFF"/>
                <w:szCs w:val="28"/>
              </w:rPr>
              <w:t>Papastamos</w:t>
            </w:r>
            <w:proofErr w:type="spellEnd"/>
          </w:p>
        </w:tc>
      </w:tr>
      <w:tr w:rsidR="003F0957" w:rsidRPr="00193974" w14:paraId="0944DBA8" w14:textId="77777777" w:rsidTr="00BA48F0">
        <w:trPr>
          <w:trHeight w:val="680"/>
          <w:jc w:val="center"/>
        </w:trPr>
        <w:tc>
          <w:tcPr>
            <w:tcW w:w="1656" w:type="dxa"/>
            <w:shd w:val="clear" w:color="auto" w:fill="F7F0E5"/>
            <w:tcMar>
              <w:top w:w="120" w:type="dxa"/>
              <w:left w:w="130" w:type="dxa"/>
              <w:bottom w:w="120" w:type="dxa"/>
              <w:right w:w="130" w:type="dxa"/>
            </w:tcMar>
            <w:vAlign w:val="center"/>
          </w:tcPr>
          <w:p w14:paraId="35A32E7C" w14:textId="77777777" w:rsidR="003F0957" w:rsidRPr="00193974" w:rsidRDefault="003F0957">
            <w:pPr>
              <w:spacing w:after="0" w:line="240" w:lineRule="auto"/>
              <w:jc w:val="center"/>
              <w:rPr>
                <w:szCs w:val="28"/>
              </w:rPr>
            </w:pPr>
          </w:p>
        </w:tc>
        <w:tc>
          <w:tcPr>
            <w:tcW w:w="8424" w:type="dxa"/>
            <w:shd w:val="clear" w:color="auto" w:fill="F7F0E5"/>
            <w:tcMar>
              <w:top w:w="120" w:type="dxa"/>
              <w:left w:w="130" w:type="dxa"/>
              <w:bottom w:w="120" w:type="dxa"/>
              <w:right w:w="130" w:type="dxa"/>
            </w:tcMar>
            <w:vAlign w:val="center"/>
          </w:tcPr>
          <w:p w14:paraId="503B2D47" w14:textId="04612FCE" w:rsidR="003F0957" w:rsidRPr="00193974" w:rsidRDefault="001269E1">
            <w:pPr>
              <w:spacing w:after="0" w:line="240" w:lineRule="auto"/>
              <w:rPr>
                <w:szCs w:val="28"/>
              </w:rPr>
            </w:pPr>
            <w:proofErr w:type="spellStart"/>
            <w:r w:rsidRPr="00193974">
              <w:rPr>
                <w:b/>
                <w:color w:val="2B201C"/>
                <w:szCs w:val="28"/>
              </w:rPr>
              <w:t>Mathilde</w:t>
            </w:r>
            <w:proofErr w:type="spellEnd"/>
            <w:r w:rsidRPr="00193974">
              <w:rPr>
                <w:b/>
                <w:color w:val="2B201C"/>
                <w:szCs w:val="28"/>
              </w:rPr>
              <w:t xml:space="preserve"> </w:t>
            </w:r>
            <w:proofErr w:type="spellStart"/>
            <w:r w:rsidRPr="00193974">
              <w:rPr>
                <w:b/>
                <w:color w:val="2B201C"/>
                <w:szCs w:val="28"/>
              </w:rPr>
              <w:t>Pyrli</w:t>
            </w:r>
            <w:proofErr w:type="spellEnd"/>
            <w:r w:rsidRPr="00193974">
              <w:rPr>
                <w:b/>
                <w:color w:val="2B201C"/>
                <w:szCs w:val="28"/>
              </w:rPr>
              <w:t xml:space="preserve"> | </w:t>
            </w:r>
            <w:r w:rsidRPr="00193974">
              <w:rPr>
                <w:color w:val="2B201C"/>
                <w:szCs w:val="28"/>
              </w:rPr>
              <w:t>“I should be as sorry to live in the South with a constitution as in the North without one.” The Fear of Republicanism in Early Nineteenth-Century British Representations of the Greek National Character</w:t>
            </w:r>
          </w:p>
        </w:tc>
      </w:tr>
      <w:tr w:rsidR="003F0957" w:rsidRPr="00193974" w14:paraId="28B2FA5A" w14:textId="77777777" w:rsidTr="00BA48F0">
        <w:trPr>
          <w:trHeight w:val="680"/>
          <w:jc w:val="center"/>
        </w:trPr>
        <w:tc>
          <w:tcPr>
            <w:tcW w:w="1656" w:type="dxa"/>
            <w:shd w:val="clear" w:color="auto" w:fill="F7F0E5"/>
            <w:tcMar>
              <w:top w:w="120" w:type="dxa"/>
              <w:left w:w="130" w:type="dxa"/>
              <w:bottom w:w="120" w:type="dxa"/>
              <w:right w:w="130" w:type="dxa"/>
            </w:tcMar>
            <w:vAlign w:val="center"/>
          </w:tcPr>
          <w:p w14:paraId="31AB6DDC" w14:textId="77777777" w:rsidR="003F0957" w:rsidRPr="00193974" w:rsidRDefault="003F0957">
            <w:pPr>
              <w:spacing w:after="0" w:line="240" w:lineRule="auto"/>
              <w:jc w:val="center"/>
              <w:rPr>
                <w:szCs w:val="28"/>
              </w:rPr>
            </w:pPr>
          </w:p>
        </w:tc>
        <w:tc>
          <w:tcPr>
            <w:tcW w:w="8424" w:type="dxa"/>
            <w:shd w:val="clear" w:color="auto" w:fill="F7F0E5"/>
            <w:tcMar>
              <w:top w:w="120" w:type="dxa"/>
              <w:left w:w="130" w:type="dxa"/>
              <w:bottom w:w="120" w:type="dxa"/>
              <w:right w:w="130" w:type="dxa"/>
            </w:tcMar>
            <w:vAlign w:val="center"/>
          </w:tcPr>
          <w:p w14:paraId="18A262BF" w14:textId="77777777" w:rsidR="003F0957" w:rsidRPr="00193974" w:rsidRDefault="001269E1">
            <w:pPr>
              <w:spacing w:after="0" w:line="240" w:lineRule="auto"/>
              <w:rPr>
                <w:szCs w:val="28"/>
              </w:rPr>
            </w:pPr>
            <w:r w:rsidRPr="00193974">
              <w:rPr>
                <w:b/>
                <w:color w:val="2B201C"/>
                <w:szCs w:val="28"/>
              </w:rPr>
              <w:t xml:space="preserve">Alexandra </w:t>
            </w:r>
            <w:proofErr w:type="spellStart"/>
            <w:r w:rsidRPr="00193974">
              <w:rPr>
                <w:b/>
                <w:color w:val="2B201C"/>
                <w:szCs w:val="28"/>
              </w:rPr>
              <w:t>Liakopoulou</w:t>
            </w:r>
            <w:proofErr w:type="spellEnd"/>
            <w:r w:rsidRPr="00193974">
              <w:rPr>
                <w:b/>
                <w:color w:val="2B201C"/>
                <w:szCs w:val="28"/>
              </w:rPr>
              <w:t xml:space="preserve"> | </w:t>
            </w:r>
            <w:r w:rsidRPr="00193974">
              <w:rPr>
                <w:color w:val="2B201C"/>
                <w:szCs w:val="28"/>
              </w:rPr>
              <w:t xml:space="preserve">The </w:t>
            </w:r>
            <w:proofErr w:type="spellStart"/>
            <w:r w:rsidRPr="00193974">
              <w:rPr>
                <w:color w:val="2B201C"/>
                <w:szCs w:val="28"/>
              </w:rPr>
              <w:t>Brexit</w:t>
            </w:r>
            <w:proofErr w:type="spellEnd"/>
            <w:r w:rsidRPr="00193974">
              <w:rPr>
                <w:color w:val="2B201C"/>
                <w:szCs w:val="28"/>
              </w:rPr>
              <w:t xml:space="preserve"> Novel: A Critical Evaluation of a Genre</w:t>
            </w:r>
          </w:p>
        </w:tc>
      </w:tr>
      <w:tr w:rsidR="003F0957" w:rsidRPr="00193974" w14:paraId="5287E87D" w14:textId="77777777" w:rsidTr="00BA48F0">
        <w:trPr>
          <w:trHeight w:val="680"/>
          <w:jc w:val="center"/>
        </w:trPr>
        <w:tc>
          <w:tcPr>
            <w:tcW w:w="1656" w:type="dxa"/>
            <w:shd w:val="clear" w:color="auto" w:fill="F7F0E5"/>
            <w:tcMar>
              <w:top w:w="120" w:type="dxa"/>
              <w:left w:w="130" w:type="dxa"/>
              <w:bottom w:w="120" w:type="dxa"/>
              <w:right w:w="130" w:type="dxa"/>
            </w:tcMar>
            <w:vAlign w:val="center"/>
          </w:tcPr>
          <w:p w14:paraId="753B14AD" w14:textId="77777777" w:rsidR="003F0957" w:rsidRPr="00193974" w:rsidRDefault="003F0957">
            <w:pPr>
              <w:spacing w:after="0" w:line="240" w:lineRule="auto"/>
              <w:jc w:val="center"/>
              <w:rPr>
                <w:szCs w:val="28"/>
              </w:rPr>
            </w:pPr>
          </w:p>
        </w:tc>
        <w:tc>
          <w:tcPr>
            <w:tcW w:w="8424" w:type="dxa"/>
            <w:shd w:val="clear" w:color="auto" w:fill="F7F0E5"/>
            <w:tcMar>
              <w:top w:w="120" w:type="dxa"/>
              <w:left w:w="130" w:type="dxa"/>
              <w:bottom w:w="120" w:type="dxa"/>
              <w:right w:w="130" w:type="dxa"/>
            </w:tcMar>
            <w:vAlign w:val="center"/>
          </w:tcPr>
          <w:p w14:paraId="769523B6" w14:textId="77777777" w:rsidR="003F0957" w:rsidRPr="00193974" w:rsidRDefault="001269E1">
            <w:pPr>
              <w:spacing w:after="0" w:line="240" w:lineRule="auto"/>
              <w:rPr>
                <w:szCs w:val="28"/>
              </w:rPr>
            </w:pPr>
            <w:proofErr w:type="spellStart"/>
            <w:r w:rsidRPr="00193974">
              <w:rPr>
                <w:b/>
                <w:color w:val="2B201C"/>
                <w:szCs w:val="28"/>
              </w:rPr>
              <w:t>Magdalini</w:t>
            </w:r>
            <w:proofErr w:type="spellEnd"/>
            <w:r w:rsidRPr="00193974">
              <w:rPr>
                <w:b/>
                <w:color w:val="2B201C"/>
                <w:szCs w:val="28"/>
              </w:rPr>
              <w:t xml:space="preserve"> </w:t>
            </w:r>
            <w:proofErr w:type="spellStart"/>
            <w:r w:rsidRPr="00193974">
              <w:rPr>
                <w:b/>
                <w:color w:val="2B201C"/>
                <w:szCs w:val="28"/>
              </w:rPr>
              <w:t>Paraskeva</w:t>
            </w:r>
            <w:proofErr w:type="spellEnd"/>
            <w:r w:rsidRPr="00193974">
              <w:rPr>
                <w:b/>
                <w:color w:val="2B201C"/>
                <w:szCs w:val="28"/>
              </w:rPr>
              <w:t xml:space="preserve"> | </w:t>
            </w:r>
            <w:r w:rsidRPr="00193974">
              <w:rPr>
                <w:color w:val="2B201C"/>
                <w:szCs w:val="28"/>
              </w:rPr>
              <w:t xml:space="preserve">The Hole Between Pages: Literary Reading and Textual Hospitality in J.M. Coetzee’s </w:t>
            </w:r>
            <w:r w:rsidRPr="00452988">
              <w:rPr>
                <w:i/>
                <w:iCs/>
                <w:color w:val="2B201C"/>
                <w:szCs w:val="28"/>
              </w:rPr>
              <w:t>The Childhood of Jesus</w:t>
            </w:r>
          </w:p>
        </w:tc>
      </w:tr>
      <w:tr w:rsidR="003F0957" w:rsidRPr="00193974" w14:paraId="2CBA8FBA" w14:textId="77777777" w:rsidTr="00BA48F0">
        <w:trPr>
          <w:trHeight w:val="680"/>
          <w:jc w:val="center"/>
        </w:trPr>
        <w:tc>
          <w:tcPr>
            <w:tcW w:w="1656" w:type="dxa"/>
            <w:shd w:val="clear" w:color="auto" w:fill="F7F0E5"/>
            <w:tcMar>
              <w:top w:w="120" w:type="dxa"/>
              <w:left w:w="130" w:type="dxa"/>
              <w:bottom w:w="120" w:type="dxa"/>
              <w:right w:w="130" w:type="dxa"/>
            </w:tcMar>
            <w:vAlign w:val="center"/>
          </w:tcPr>
          <w:p w14:paraId="42EEE87D" w14:textId="77777777" w:rsidR="003F0957" w:rsidRPr="00193974" w:rsidRDefault="003F0957">
            <w:pPr>
              <w:spacing w:after="0" w:line="240" w:lineRule="auto"/>
              <w:jc w:val="center"/>
              <w:rPr>
                <w:szCs w:val="28"/>
              </w:rPr>
            </w:pPr>
          </w:p>
        </w:tc>
        <w:tc>
          <w:tcPr>
            <w:tcW w:w="8424" w:type="dxa"/>
            <w:shd w:val="clear" w:color="auto" w:fill="F7F0E5"/>
            <w:tcMar>
              <w:top w:w="120" w:type="dxa"/>
              <w:left w:w="130" w:type="dxa"/>
              <w:bottom w:w="120" w:type="dxa"/>
              <w:right w:w="130" w:type="dxa"/>
            </w:tcMar>
            <w:vAlign w:val="center"/>
          </w:tcPr>
          <w:p w14:paraId="6259DE85" w14:textId="77777777" w:rsidR="003F0957" w:rsidRPr="00193974" w:rsidRDefault="001269E1">
            <w:pPr>
              <w:spacing w:after="0" w:line="240" w:lineRule="auto"/>
              <w:rPr>
                <w:szCs w:val="28"/>
              </w:rPr>
            </w:pPr>
            <w:r w:rsidRPr="00193974">
              <w:rPr>
                <w:b/>
                <w:color w:val="2B201C"/>
                <w:szCs w:val="28"/>
              </w:rPr>
              <w:t xml:space="preserve">Sophia </w:t>
            </w:r>
            <w:proofErr w:type="spellStart"/>
            <w:r w:rsidRPr="00193974">
              <w:rPr>
                <w:b/>
                <w:color w:val="2B201C"/>
                <w:szCs w:val="28"/>
              </w:rPr>
              <w:t>Giannousiou</w:t>
            </w:r>
            <w:proofErr w:type="spellEnd"/>
            <w:r w:rsidRPr="00193974">
              <w:rPr>
                <w:b/>
                <w:color w:val="2B201C"/>
                <w:szCs w:val="28"/>
              </w:rPr>
              <w:t xml:space="preserve"> | </w:t>
            </w:r>
            <w:r w:rsidRPr="00193974">
              <w:rPr>
                <w:color w:val="2B201C"/>
                <w:szCs w:val="28"/>
              </w:rPr>
              <w:t>Notes on the Representation of Resistance, or Thinking through the Palestinian and Post-Soviet Contexts</w:t>
            </w:r>
          </w:p>
        </w:tc>
      </w:tr>
      <w:tr w:rsidR="003F0957" w:rsidRPr="00193974" w14:paraId="4C64FD38" w14:textId="77777777" w:rsidTr="00BA48F0">
        <w:trPr>
          <w:trHeight w:val="680"/>
          <w:jc w:val="center"/>
        </w:trPr>
        <w:tc>
          <w:tcPr>
            <w:tcW w:w="1656" w:type="dxa"/>
            <w:shd w:val="clear" w:color="auto" w:fill="EADCCB"/>
            <w:tcMar>
              <w:top w:w="120" w:type="dxa"/>
              <w:left w:w="130" w:type="dxa"/>
              <w:bottom w:w="120" w:type="dxa"/>
              <w:right w:w="130" w:type="dxa"/>
            </w:tcMar>
            <w:vAlign w:val="center"/>
          </w:tcPr>
          <w:p w14:paraId="0C288C45" w14:textId="77777777" w:rsidR="003F0957" w:rsidRPr="00193974" w:rsidRDefault="001269E1">
            <w:pPr>
              <w:spacing w:after="0" w:line="240" w:lineRule="auto"/>
              <w:jc w:val="center"/>
              <w:rPr>
                <w:szCs w:val="28"/>
              </w:rPr>
            </w:pPr>
            <w:r w:rsidRPr="00193974">
              <w:rPr>
                <w:b/>
                <w:color w:val="2B201C"/>
                <w:szCs w:val="28"/>
              </w:rPr>
              <w:t>11:10–11:40</w:t>
            </w:r>
          </w:p>
        </w:tc>
        <w:tc>
          <w:tcPr>
            <w:tcW w:w="8424" w:type="dxa"/>
            <w:shd w:val="clear" w:color="auto" w:fill="EADCCB"/>
            <w:tcMar>
              <w:top w:w="120" w:type="dxa"/>
              <w:left w:w="130" w:type="dxa"/>
              <w:bottom w:w="120" w:type="dxa"/>
              <w:right w:w="130" w:type="dxa"/>
            </w:tcMar>
            <w:vAlign w:val="center"/>
          </w:tcPr>
          <w:p w14:paraId="0A99E14D" w14:textId="77777777" w:rsidR="003F0957" w:rsidRPr="00193974" w:rsidRDefault="001269E1">
            <w:pPr>
              <w:spacing w:after="0" w:line="240" w:lineRule="auto"/>
              <w:rPr>
                <w:szCs w:val="28"/>
              </w:rPr>
            </w:pPr>
            <w:r w:rsidRPr="00193974">
              <w:rPr>
                <w:b/>
                <w:color w:val="2B201C"/>
                <w:szCs w:val="28"/>
              </w:rPr>
              <w:t>Coffee break</w:t>
            </w:r>
          </w:p>
        </w:tc>
      </w:tr>
      <w:tr w:rsidR="003F0957" w:rsidRPr="00193974" w14:paraId="02A08F5A" w14:textId="77777777" w:rsidTr="00BA48F0">
        <w:trPr>
          <w:trHeight w:val="680"/>
          <w:jc w:val="center"/>
        </w:trPr>
        <w:tc>
          <w:tcPr>
            <w:tcW w:w="1656" w:type="dxa"/>
            <w:shd w:val="clear" w:color="auto" w:fill="B85C38"/>
            <w:tcMar>
              <w:top w:w="120" w:type="dxa"/>
              <w:left w:w="130" w:type="dxa"/>
              <w:bottom w:w="120" w:type="dxa"/>
              <w:right w:w="130" w:type="dxa"/>
            </w:tcMar>
            <w:vAlign w:val="center"/>
          </w:tcPr>
          <w:p w14:paraId="59533AAA" w14:textId="77777777" w:rsidR="003F0957" w:rsidRPr="00193974" w:rsidRDefault="001269E1">
            <w:pPr>
              <w:spacing w:after="0" w:line="240" w:lineRule="auto"/>
              <w:jc w:val="center"/>
              <w:rPr>
                <w:szCs w:val="28"/>
              </w:rPr>
            </w:pPr>
            <w:r w:rsidRPr="00193974">
              <w:rPr>
                <w:b/>
                <w:color w:val="FFFFFF"/>
                <w:szCs w:val="28"/>
              </w:rPr>
              <w:t>11:40–13:20</w:t>
            </w:r>
          </w:p>
        </w:tc>
        <w:tc>
          <w:tcPr>
            <w:tcW w:w="8424" w:type="dxa"/>
            <w:shd w:val="clear" w:color="auto" w:fill="B85C38"/>
            <w:tcMar>
              <w:top w:w="120" w:type="dxa"/>
              <w:left w:w="130" w:type="dxa"/>
              <w:bottom w:w="120" w:type="dxa"/>
              <w:right w:w="130" w:type="dxa"/>
            </w:tcMar>
            <w:vAlign w:val="center"/>
          </w:tcPr>
          <w:p w14:paraId="68FE661F" w14:textId="77777777" w:rsidR="003F0957" w:rsidRPr="00193974" w:rsidRDefault="001269E1">
            <w:pPr>
              <w:spacing w:after="0" w:line="240" w:lineRule="auto"/>
              <w:rPr>
                <w:rFonts w:ascii="EB Garamond" w:hAnsi="EB Garamond"/>
                <w:szCs w:val="28"/>
              </w:rPr>
            </w:pPr>
            <w:r w:rsidRPr="00193974">
              <w:rPr>
                <w:rFonts w:ascii="EB Garamond" w:hAnsi="EB Garamond"/>
                <w:b/>
                <w:color w:val="FFFFFF"/>
                <w:sz w:val="28"/>
                <w:szCs w:val="40"/>
              </w:rPr>
              <w:t>PANEL 2:</w:t>
            </w:r>
            <w:r w:rsidRPr="00193974">
              <w:rPr>
                <w:rFonts w:ascii="EB Garamond" w:hAnsi="EB Garamond"/>
                <w:sz w:val="28"/>
                <w:szCs w:val="40"/>
              </w:rPr>
              <w:br/>
            </w:r>
            <w:r w:rsidRPr="00193974">
              <w:rPr>
                <w:rFonts w:ascii="EB Garamond" w:hAnsi="EB Garamond"/>
                <w:b/>
                <w:color w:val="FFFFFF"/>
                <w:sz w:val="28"/>
                <w:szCs w:val="40"/>
              </w:rPr>
              <w:t xml:space="preserve">Imagining Otherwise: Utopia, Speculation, and </w:t>
            </w:r>
            <w:proofErr w:type="spellStart"/>
            <w:r w:rsidRPr="00193974">
              <w:rPr>
                <w:rFonts w:ascii="EB Garamond" w:hAnsi="EB Garamond"/>
                <w:b/>
                <w:color w:val="FFFFFF"/>
                <w:sz w:val="28"/>
                <w:szCs w:val="40"/>
              </w:rPr>
              <w:t>Posthuman</w:t>
            </w:r>
            <w:proofErr w:type="spellEnd"/>
            <w:r w:rsidRPr="00193974">
              <w:rPr>
                <w:rFonts w:ascii="EB Garamond" w:hAnsi="EB Garamond"/>
                <w:b/>
                <w:color w:val="FFFFFF"/>
                <w:sz w:val="28"/>
                <w:szCs w:val="40"/>
              </w:rPr>
              <w:t xml:space="preserve"> Futures</w:t>
            </w:r>
            <w:r w:rsidRPr="00193974">
              <w:rPr>
                <w:rFonts w:ascii="EB Garamond" w:hAnsi="EB Garamond"/>
                <w:sz w:val="28"/>
                <w:szCs w:val="40"/>
              </w:rPr>
              <w:br/>
            </w:r>
            <w:r w:rsidRPr="00193974">
              <w:rPr>
                <w:rFonts w:cs="Noto Sans"/>
                <w:bCs/>
                <w:i/>
                <w:color w:val="FFFFFF"/>
                <w:szCs w:val="28"/>
              </w:rPr>
              <w:t xml:space="preserve">Chair: </w:t>
            </w:r>
            <w:proofErr w:type="spellStart"/>
            <w:r w:rsidR="00D04A36" w:rsidRPr="00193974">
              <w:rPr>
                <w:bCs/>
                <w:i/>
                <w:color w:val="FFFFFF"/>
                <w:szCs w:val="28"/>
              </w:rPr>
              <w:t>Mathilde</w:t>
            </w:r>
            <w:proofErr w:type="spellEnd"/>
            <w:r w:rsidR="00D04A36" w:rsidRPr="00193974">
              <w:rPr>
                <w:bCs/>
                <w:i/>
                <w:color w:val="FFFFFF"/>
                <w:szCs w:val="28"/>
              </w:rPr>
              <w:t xml:space="preserve"> </w:t>
            </w:r>
            <w:proofErr w:type="spellStart"/>
            <w:r w:rsidR="00D04A36" w:rsidRPr="00193974">
              <w:rPr>
                <w:bCs/>
                <w:i/>
                <w:color w:val="FFFFFF"/>
                <w:szCs w:val="28"/>
              </w:rPr>
              <w:t>Pyrli</w:t>
            </w:r>
            <w:proofErr w:type="spellEnd"/>
          </w:p>
        </w:tc>
      </w:tr>
      <w:tr w:rsidR="003F0957" w:rsidRPr="00193974" w14:paraId="38EBCA32" w14:textId="77777777" w:rsidTr="00BA48F0">
        <w:trPr>
          <w:trHeight w:val="680"/>
          <w:jc w:val="center"/>
        </w:trPr>
        <w:tc>
          <w:tcPr>
            <w:tcW w:w="1656" w:type="dxa"/>
            <w:shd w:val="clear" w:color="auto" w:fill="F7F0E5"/>
            <w:tcMar>
              <w:top w:w="120" w:type="dxa"/>
              <w:left w:w="130" w:type="dxa"/>
              <w:bottom w:w="120" w:type="dxa"/>
              <w:right w:w="130" w:type="dxa"/>
            </w:tcMar>
            <w:vAlign w:val="center"/>
          </w:tcPr>
          <w:p w14:paraId="64A82C3C" w14:textId="77777777" w:rsidR="003F0957" w:rsidRPr="00193974" w:rsidRDefault="003F0957">
            <w:pPr>
              <w:spacing w:after="0" w:line="240" w:lineRule="auto"/>
              <w:jc w:val="center"/>
              <w:rPr>
                <w:szCs w:val="28"/>
              </w:rPr>
            </w:pPr>
          </w:p>
        </w:tc>
        <w:tc>
          <w:tcPr>
            <w:tcW w:w="8424" w:type="dxa"/>
            <w:shd w:val="clear" w:color="auto" w:fill="F7F0E5"/>
            <w:tcMar>
              <w:top w:w="120" w:type="dxa"/>
              <w:left w:w="130" w:type="dxa"/>
              <w:bottom w:w="120" w:type="dxa"/>
              <w:right w:w="130" w:type="dxa"/>
            </w:tcMar>
            <w:vAlign w:val="center"/>
          </w:tcPr>
          <w:p w14:paraId="22B5F103" w14:textId="77777777" w:rsidR="003F0957" w:rsidRPr="00193974" w:rsidRDefault="001269E1">
            <w:pPr>
              <w:spacing w:after="0" w:line="240" w:lineRule="auto"/>
              <w:rPr>
                <w:szCs w:val="28"/>
              </w:rPr>
            </w:pPr>
            <w:r w:rsidRPr="00193974">
              <w:rPr>
                <w:b/>
                <w:color w:val="2B201C"/>
                <w:szCs w:val="28"/>
              </w:rPr>
              <w:t xml:space="preserve">Anna </w:t>
            </w:r>
            <w:proofErr w:type="spellStart"/>
            <w:r w:rsidRPr="00193974">
              <w:rPr>
                <w:b/>
                <w:color w:val="2B201C"/>
                <w:szCs w:val="28"/>
              </w:rPr>
              <w:t>Louri</w:t>
            </w:r>
            <w:proofErr w:type="spellEnd"/>
            <w:r w:rsidRPr="00193974">
              <w:rPr>
                <w:b/>
                <w:color w:val="2B201C"/>
                <w:szCs w:val="28"/>
              </w:rPr>
              <w:t xml:space="preserve"> | </w:t>
            </w:r>
            <w:r w:rsidRPr="00193974">
              <w:rPr>
                <w:color w:val="2B201C"/>
                <w:szCs w:val="28"/>
              </w:rPr>
              <w:t xml:space="preserve">“My desolation does begin to make / A better life”: The Anticipatory Illumination of Utopia in William Shakespeare’s </w:t>
            </w:r>
            <w:r w:rsidRPr="00452988">
              <w:rPr>
                <w:i/>
                <w:iCs/>
                <w:color w:val="2B201C"/>
                <w:szCs w:val="28"/>
              </w:rPr>
              <w:t>Antony and Cleopatra</w:t>
            </w:r>
          </w:p>
        </w:tc>
      </w:tr>
      <w:tr w:rsidR="003F0957" w:rsidRPr="00193974" w14:paraId="479AA2AB" w14:textId="77777777" w:rsidTr="00BA48F0">
        <w:trPr>
          <w:trHeight w:val="680"/>
          <w:jc w:val="center"/>
        </w:trPr>
        <w:tc>
          <w:tcPr>
            <w:tcW w:w="1656" w:type="dxa"/>
            <w:shd w:val="clear" w:color="auto" w:fill="F7F0E5"/>
            <w:tcMar>
              <w:top w:w="120" w:type="dxa"/>
              <w:left w:w="130" w:type="dxa"/>
              <w:bottom w:w="120" w:type="dxa"/>
              <w:right w:w="130" w:type="dxa"/>
            </w:tcMar>
            <w:vAlign w:val="center"/>
          </w:tcPr>
          <w:p w14:paraId="48B8AC4A" w14:textId="77777777" w:rsidR="003F0957" w:rsidRPr="00193974" w:rsidRDefault="003F0957">
            <w:pPr>
              <w:spacing w:after="0" w:line="240" w:lineRule="auto"/>
              <w:jc w:val="center"/>
              <w:rPr>
                <w:szCs w:val="28"/>
              </w:rPr>
            </w:pPr>
          </w:p>
        </w:tc>
        <w:tc>
          <w:tcPr>
            <w:tcW w:w="8424" w:type="dxa"/>
            <w:shd w:val="clear" w:color="auto" w:fill="F7F0E5"/>
            <w:tcMar>
              <w:top w:w="120" w:type="dxa"/>
              <w:left w:w="130" w:type="dxa"/>
              <w:bottom w:w="120" w:type="dxa"/>
              <w:right w:w="130" w:type="dxa"/>
            </w:tcMar>
            <w:vAlign w:val="center"/>
          </w:tcPr>
          <w:p w14:paraId="6FB681B3" w14:textId="77777777" w:rsidR="003F0957" w:rsidRPr="00193974" w:rsidRDefault="001269E1">
            <w:pPr>
              <w:spacing w:after="0" w:line="240" w:lineRule="auto"/>
              <w:rPr>
                <w:szCs w:val="28"/>
              </w:rPr>
            </w:pPr>
            <w:proofErr w:type="spellStart"/>
            <w:r w:rsidRPr="00193974">
              <w:rPr>
                <w:b/>
                <w:color w:val="2B201C"/>
                <w:szCs w:val="28"/>
              </w:rPr>
              <w:t>Despoina</w:t>
            </w:r>
            <w:proofErr w:type="spellEnd"/>
            <w:r w:rsidRPr="00193974">
              <w:rPr>
                <w:b/>
                <w:color w:val="2B201C"/>
                <w:szCs w:val="28"/>
              </w:rPr>
              <w:t xml:space="preserve"> </w:t>
            </w:r>
            <w:proofErr w:type="spellStart"/>
            <w:r w:rsidRPr="00193974">
              <w:rPr>
                <w:b/>
                <w:color w:val="2B201C"/>
                <w:szCs w:val="28"/>
              </w:rPr>
              <w:t>Tantsiopoulou</w:t>
            </w:r>
            <w:proofErr w:type="spellEnd"/>
            <w:r w:rsidRPr="00193974">
              <w:rPr>
                <w:b/>
                <w:color w:val="2B201C"/>
                <w:szCs w:val="28"/>
              </w:rPr>
              <w:t xml:space="preserve"> | </w:t>
            </w:r>
            <w:r w:rsidRPr="00193974">
              <w:rPr>
                <w:color w:val="2B201C"/>
                <w:szCs w:val="28"/>
              </w:rPr>
              <w:t xml:space="preserve">The Campus is Hell: Academia, Time and the Freudian </w:t>
            </w:r>
            <w:proofErr w:type="spellStart"/>
            <w:r w:rsidRPr="00452988">
              <w:rPr>
                <w:i/>
                <w:iCs/>
                <w:color w:val="2B201C"/>
                <w:szCs w:val="28"/>
              </w:rPr>
              <w:t>Unheimlich</w:t>
            </w:r>
            <w:proofErr w:type="spellEnd"/>
            <w:r w:rsidRPr="00193974">
              <w:rPr>
                <w:color w:val="2B201C"/>
                <w:szCs w:val="28"/>
              </w:rPr>
              <w:t xml:space="preserve"> in Rebecca F. </w:t>
            </w:r>
            <w:proofErr w:type="spellStart"/>
            <w:r w:rsidRPr="00193974">
              <w:rPr>
                <w:color w:val="2B201C"/>
                <w:szCs w:val="28"/>
              </w:rPr>
              <w:t>Kuang’s</w:t>
            </w:r>
            <w:proofErr w:type="spellEnd"/>
            <w:r w:rsidRPr="00193974">
              <w:rPr>
                <w:color w:val="2B201C"/>
                <w:szCs w:val="28"/>
              </w:rPr>
              <w:t xml:space="preserve"> </w:t>
            </w:r>
            <w:proofErr w:type="spellStart"/>
            <w:r w:rsidRPr="00452988">
              <w:rPr>
                <w:i/>
                <w:iCs/>
                <w:color w:val="2B201C"/>
                <w:szCs w:val="28"/>
              </w:rPr>
              <w:t>Katabasis</w:t>
            </w:r>
            <w:proofErr w:type="spellEnd"/>
          </w:p>
        </w:tc>
      </w:tr>
      <w:tr w:rsidR="003F0957" w:rsidRPr="00193974" w14:paraId="2219E3D6" w14:textId="77777777" w:rsidTr="00BA48F0">
        <w:trPr>
          <w:trHeight w:val="680"/>
          <w:jc w:val="center"/>
        </w:trPr>
        <w:tc>
          <w:tcPr>
            <w:tcW w:w="1656" w:type="dxa"/>
            <w:shd w:val="clear" w:color="auto" w:fill="F7F0E5"/>
            <w:tcMar>
              <w:top w:w="120" w:type="dxa"/>
              <w:left w:w="130" w:type="dxa"/>
              <w:bottom w:w="120" w:type="dxa"/>
              <w:right w:w="130" w:type="dxa"/>
            </w:tcMar>
            <w:vAlign w:val="center"/>
          </w:tcPr>
          <w:p w14:paraId="125F50AB" w14:textId="77777777" w:rsidR="003F0957" w:rsidRPr="00193974" w:rsidRDefault="003F0957">
            <w:pPr>
              <w:spacing w:after="0" w:line="240" w:lineRule="auto"/>
              <w:jc w:val="center"/>
              <w:rPr>
                <w:szCs w:val="28"/>
              </w:rPr>
            </w:pPr>
          </w:p>
        </w:tc>
        <w:tc>
          <w:tcPr>
            <w:tcW w:w="8424" w:type="dxa"/>
            <w:shd w:val="clear" w:color="auto" w:fill="F7F0E5"/>
            <w:tcMar>
              <w:top w:w="120" w:type="dxa"/>
              <w:left w:w="130" w:type="dxa"/>
              <w:bottom w:w="120" w:type="dxa"/>
              <w:right w:w="130" w:type="dxa"/>
            </w:tcMar>
            <w:vAlign w:val="center"/>
          </w:tcPr>
          <w:p w14:paraId="6DA65BBA" w14:textId="77777777" w:rsidR="003F0957" w:rsidRPr="00193974" w:rsidRDefault="001269E1">
            <w:pPr>
              <w:spacing w:after="0" w:line="240" w:lineRule="auto"/>
              <w:rPr>
                <w:szCs w:val="28"/>
              </w:rPr>
            </w:pPr>
            <w:proofErr w:type="spellStart"/>
            <w:r w:rsidRPr="00193974">
              <w:rPr>
                <w:b/>
                <w:color w:val="2B201C"/>
                <w:szCs w:val="28"/>
              </w:rPr>
              <w:t>Stavroula</w:t>
            </w:r>
            <w:proofErr w:type="spellEnd"/>
            <w:r w:rsidRPr="00193974">
              <w:rPr>
                <w:b/>
                <w:color w:val="2B201C"/>
                <w:szCs w:val="28"/>
              </w:rPr>
              <w:t xml:space="preserve"> Anastasia (</w:t>
            </w:r>
            <w:proofErr w:type="spellStart"/>
            <w:r w:rsidRPr="00193974">
              <w:rPr>
                <w:b/>
                <w:color w:val="2B201C"/>
                <w:szCs w:val="28"/>
              </w:rPr>
              <w:t>Lina</w:t>
            </w:r>
            <w:proofErr w:type="spellEnd"/>
            <w:r w:rsidRPr="00193974">
              <w:rPr>
                <w:b/>
                <w:color w:val="2B201C"/>
                <w:szCs w:val="28"/>
              </w:rPr>
              <w:t xml:space="preserve">) </w:t>
            </w:r>
            <w:proofErr w:type="spellStart"/>
            <w:r w:rsidRPr="00193974">
              <w:rPr>
                <w:b/>
                <w:color w:val="2B201C"/>
                <w:szCs w:val="28"/>
              </w:rPr>
              <w:t>Katsorchi</w:t>
            </w:r>
            <w:proofErr w:type="spellEnd"/>
            <w:r w:rsidRPr="00193974">
              <w:rPr>
                <w:b/>
                <w:color w:val="2B201C"/>
                <w:szCs w:val="28"/>
              </w:rPr>
              <w:t xml:space="preserve"> | </w:t>
            </w:r>
            <w:proofErr w:type="spellStart"/>
            <w:r w:rsidRPr="00193974">
              <w:rPr>
                <w:color w:val="2B201C"/>
                <w:szCs w:val="28"/>
              </w:rPr>
              <w:t>Posthumanism</w:t>
            </w:r>
            <w:proofErr w:type="spellEnd"/>
            <w:r w:rsidRPr="00193974">
              <w:rPr>
                <w:color w:val="2B201C"/>
                <w:szCs w:val="28"/>
              </w:rPr>
              <w:t xml:space="preserve"> and My Discontents: Questions, More Questions, the Present, and the Future</w:t>
            </w:r>
          </w:p>
        </w:tc>
      </w:tr>
      <w:tr w:rsidR="003F0957" w:rsidRPr="00193974" w14:paraId="652C41C1" w14:textId="77777777" w:rsidTr="00BA48F0">
        <w:trPr>
          <w:trHeight w:val="680"/>
          <w:jc w:val="center"/>
        </w:trPr>
        <w:tc>
          <w:tcPr>
            <w:tcW w:w="1656" w:type="dxa"/>
            <w:shd w:val="clear" w:color="auto" w:fill="F7F0E5"/>
            <w:tcMar>
              <w:top w:w="120" w:type="dxa"/>
              <w:left w:w="130" w:type="dxa"/>
              <w:bottom w:w="120" w:type="dxa"/>
              <w:right w:w="130" w:type="dxa"/>
            </w:tcMar>
            <w:vAlign w:val="center"/>
          </w:tcPr>
          <w:p w14:paraId="5646468F" w14:textId="77777777" w:rsidR="003F0957" w:rsidRPr="00193974" w:rsidRDefault="003F0957">
            <w:pPr>
              <w:spacing w:after="0" w:line="240" w:lineRule="auto"/>
              <w:jc w:val="center"/>
              <w:rPr>
                <w:szCs w:val="28"/>
              </w:rPr>
            </w:pPr>
          </w:p>
        </w:tc>
        <w:tc>
          <w:tcPr>
            <w:tcW w:w="8424" w:type="dxa"/>
            <w:shd w:val="clear" w:color="auto" w:fill="F7F0E5"/>
            <w:tcMar>
              <w:top w:w="120" w:type="dxa"/>
              <w:left w:w="130" w:type="dxa"/>
              <w:bottom w:w="120" w:type="dxa"/>
              <w:right w:w="130" w:type="dxa"/>
            </w:tcMar>
            <w:vAlign w:val="center"/>
          </w:tcPr>
          <w:p w14:paraId="610DB02B" w14:textId="77777777" w:rsidR="003F0957" w:rsidRPr="00193974" w:rsidRDefault="001269E1">
            <w:pPr>
              <w:spacing w:after="0" w:line="240" w:lineRule="auto"/>
              <w:rPr>
                <w:szCs w:val="28"/>
              </w:rPr>
            </w:pPr>
            <w:proofErr w:type="spellStart"/>
            <w:r w:rsidRPr="00193974">
              <w:rPr>
                <w:b/>
                <w:color w:val="2B201C"/>
                <w:szCs w:val="28"/>
              </w:rPr>
              <w:t>Panagiotis</w:t>
            </w:r>
            <w:proofErr w:type="spellEnd"/>
            <w:r w:rsidRPr="00193974">
              <w:rPr>
                <w:b/>
                <w:color w:val="2B201C"/>
                <w:szCs w:val="28"/>
              </w:rPr>
              <w:t xml:space="preserve"> Orfanos | </w:t>
            </w:r>
            <w:r w:rsidRPr="00193974">
              <w:rPr>
                <w:color w:val="2B201C"/>
                <w:szCs w:val="28"/>
              </w:rPr>
              <w:t>Speculative Voices: Reimagining the Limits of Ethical Co-existence at the Age of the Unthinkable</w:t>
            </w:r>
          </w:p>
        </w:tc>
      </w:tr>
      <w:tr w:rsidR="00BA48F0" w:rsidRPr="00193974" w14:paraId="7DCAE602" w14:textId="77777777" w:rsidTr="00B47EBA">
        <w:trPr>
          <w:trHeight w:val="680"/>
          <w:jc w:val="center"/>
        </w:trPr>
        <w:tc>
          <w:tcPr>
            <w:tcW w:w="1656" w:type="dxa"/>
            <w:shd w:val="clear" w:color="auto" w:fill="EADCCB"/>
            <w:tcMar>
              <w:top w:w="120" w:type="dxa"/>
              <w:left w:w="130" w:type="dxa"/>
              <w:bottom w:w="120" w:type="dxa"/>
              <w:right w:w="130" w:type="dxa"/>
            </w:tcMar>
            <w:vAlign w:val="center"/>
          </w:tcPr>
          <w:p w14:paraId="6DE364AC" w14:textId="77777777" w:rsidR="00BA48F0" w:rsidRPr="00193974" w:rsidRDefault="00BA48F0" w:rsidP="00B47EBA">
            <w:pPr>
              <w:spacing w:after="0" w:line="240" w:lineRule="auto"/>
              <w:jc w:val="center"/>
              <w:rPr>
                <w:szCs w:val="28"/>
              </w:rPr>
            </w:pPr>
            <w:r w:rsidRPr="00193974">
              <w:rPr>
                <w:b/>
                <w:color w:val="2B201C"/>
                <w:szCs w:val="28"/>
              </w:rPr>
              <w:t>13:20–14:00</w:t>
            </w:r>
          </w:p>
        </w:tc>
        <w:tc>
          <w:tcPr>
            <w:tcW w:w="8424" w:type="dxa"/>
            <w:shd w:val="clear" w:color="auto" w:fill="EADCCB"/>
            <w:tcMar>
              <w:top w:w="120" w:type="dxa"/>
              <w:left w:w="130" w:type="dxa"/>
              <w:bottom w:w="120" w:type="dxa"/>
              <w:right w:w="130" w:type="dxa"/>
            </w:tcMar>
            <w:vAlign w:val="center"/>
          </w:tcPr>
          <w:p w14:paraId="479A1956" w14:textId="77777777" w:rsidR="00BA48F0" w:rsidRPr="00193974" w:rsidRDefault="00BA48F0" w:rsidP="00B47EBA">
            <w:pPr>
              <w:spacing w:after="0" w:line="240" w:lineRule="auto"/>
              <w:rPr>
                <w:szCs w:val="28"/>
              </w:rPr>
            </w:pPr>
            <w:r>
              <w:rPr>
                <w:b/>
                <w:color w:val="2B201C"/>
                <w:szCs w:val="28"/>
              </w:rPr>
              <w:t>Lunch</w:t>
            </w:r>
            <w:r w:rsidRPr="00193974">
              <w:rPr>
                <w:b/>
                <w:color w:val="2B201C"/>
                <w:szCs w:val="28"/>
              </w:rPr>
              <w:t xml:space="preserve"> break</w:t>
            </w:r>
          </w:p>
        </w:tc>
      </w:tr>
    </w:tbl>
    <w:p w14:paraId="6BE6DEE6" w14:textId="77777777" w:rsidR="003F0957" w:rsidRDefault="001269E1">
      <w:r>
        <w:br w:type="page"/>
      </w:r>
    </w:p>
    <w:p w14:paraId="13020748" w14:textId="77777777" w:rsidR="003F0957" w:rsidRDefault="001269E1">
      <w:pPr>
        <w:pBdr>
          <w:bottom w:val="single" w:sz="14" w:space="5" w:color="B85C38"/>
        </w:pBdr>
        <w:spacing w:after="140" w:line="240" w:lineRule="auto"/>
      </w:pPr>
      <w:r>
        <w:rPr>
          <w:rFonts w:ascii="EB Garamond" w:hAnsi="EB Garamond"/>
          <w:b/>
          <w:color w:val="2B201C"/>
          <w:sz w:val="34"/>
        </w:rPr>
        <w:t>PROGRAMME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656"/>
        <w:gridCol w:w="8424"/>
      </w:tblGrid>
      <w:tr w:rsidR="003F0957" w:rsidRPr="00193974" w14:paraId="0C35CD74" w14:textId="77777777" w:rsidTr="00D8517B">
        <w:trPr>
          <w:trHeight w:val="794"/>
          <w:jc w:val="center"/>
        </w:trPr>
        <w:tc>
          <w:tcPr>
            <w:tcW w:w="1656" w:type="dxa"/>
            <w:shd w:val="clear" w:color="auto" w:fill="C58A2B"/>
            <w:tcMar>
              <w:top w:w="120" w:type="dxa"/>
              <w:left w:w="130" w:type="dxa"/>
              <w:bottom w:w="120" w:type="dxa"/>
              <w:right w:w="130" w:type="dxa"/>
            </w:tcMar>
            <w:vAlign w:val="center"/>
          </w:tcPr>
          <w:p w14:paraId="4FDE1405" w14:textId="77777777" w:rsidR="003F0957" w:rsidRPr="00193974" w:rsidRDefault="001269E1">
            <w:pPr>
              <w:spacing w:after="0" w:line="240" w:lineRule="auto"/>
              <w:jc w:val="center"/>
              <w:rPr>
                <w:szCs w:val="28"/>
              </w:rPr>
            </w:pPr>
            <w:r w:rsidRPr="00193974">
              <w:rPr>
                <w:b/>
                <w:color w:val="FFFFFF"/>
                <w:szCs w:val="28"/>
              </w:rPr>
              <w:t>14:00–15:40</w:t>
            </w:r>
          </w:p>
        </w:tc>
        <w:tc>
          <w:tcPr>
            <w:tcW w:w="8424" w:type="dxa"/>
            <w:shd w:val="clear" w:color="auto" w:fill="C58A2B"/>
            <w:tcMar>
              <w:top w:w="120" w:type="dxa"/>
              <w:left w:w="130" w:type="dxa"/>
              <w:bottom w:w="120" w:type="dxa"/>
              <w:right w:w="130" w:type="dxa"/>
            </w:tcMar>
            <w:vAlign w:val="center"/>
          </w:tcPr>
          <w:p w14:paraId="15B2ECDE" w14:textId="77777777" w:rsidR="003F0957" w:rsidRPr="00193974" w:rsidRDefault="001269E1">
            <w:pPr>
              <w:spacing w:after="0" w:line="240" w:lineRule="auto"/>
              <w:rPr>
                <w:szCs w:val="28"/>
              </w:rPr>
            </w:pPr>
            <w:r w:rsidRPr="00193974">
              <w:rPr>
                <w:rFonts w:ascii="EB Garamond" w:hAnsi="EB Garamond"/>
                <w:b/>
                <w:color w:val="FFFFFF"/>
                <w:sz w:val="24"/>
                <w:szCs w:val="36"/>
              </w:rPr>
              <w:t>PANEL 3:</w:t>
            </w:r>
            <w:r w:rsidRPr="00193974">
              <w:rPr>
                <w:rFonts w:ascii="EB Garamond" w:hAnsi="EB Garamond"/>
                <w:sz w:val="24"/>
                <w:szCs w:val="36"/>
              </w:rPr>
              <w:br/>
            </w:r>
            <w:r w:rsidRPr="00193974">
              <w:rPr>
                <w:rFonts w:ascii="EB Garamond" w:hAnsi="EB Garamond"/>
                <w:b/>
                <w:color w:val="FFFFFF"/>
                <w:sz w:val="24"/>
                <w:szCs w:val="36"/>
              </w:rPr>
              <w:t>Art as Method: Bodies, Poetics, and Radical Form</w:t>
            </w:r>
            <w:r w:rsidRPr="00193974">
              <w:rPr>
                <w:rFonts w:ascii="EB Garamond" w:hAnsi="EB Garamond"/>
                <w:sz w:val="24"/>
                <w:szCs w:val="36"/>
              </w:rPr>
              <w:br/>
            </w:r>
            <w:r w:rsidRPr="00193974">
              <w:rPr>
                <w:bCs/>
                <w:i/>
                <w:color w:val="FFFFFF"/>
                <w:szCs w:val="28"/>
              </w:rPr>
              <w:t xml:space="preserve">Chair: </w:t>
            </w:r>
            <w:proofErr w:type="spellStart"/>
            <w:r w:rsidR="00D04A36">
              <w:rPr>
                <w:bCs/>
                <w:i/>
                <w:color w:val="FFFFFF"/>
                <w:szCs w:val="28"/>
              </w:rPr>
              <w:t>Panagiotis</w:t>
            </w:r>
            <w:proofErr w:type="spellEnd"/>
            <w:r w:rsidR="00D04A36">
              <w:rPr>
                <w:bCs/>
                <w:i/>
                <w:color w:val="FFFFFF"/>
                <w:szCs w:val="28"/>
              </w:rPr>
              <w:t xml:space="preserve"> Orfanos</w:t>
            </w:r>
          </w:p>
        </w:tc>
      </w:tr>
      <w:tr w:rsidR="003F0957" w:rsidRPr="00193974" w14:paraId="5914A4C2" w14:textId="77777777" w:rsidTr="00D8517B">
        <w:trPr>
          <w:trHeight w:val="794"/>
          <w:jc w:val="center"/>
        </w:trPr>
        <w:tc>
          <w:tcPr>
            <w:tcW w:w="1656" w:type="dxa"/>
            <w:shd w:val="clear" w:color="auto" w:fill="F7F0E5"/>
            <w:tcMar>
              <w:top w:w="120" w:type="dxa"/>
              <w:left w:w="130" w:type="dxa"/>
              <w:bottom w:w="120" w:type="dxa"/>
              <w:right w:w="130" w:type="dxa"/>
            </w:tcMar>
            <w:vAlign w:val="center"/>
          </w:tcPr>
          <w:p w14:paraId="07179597" w14:textId="77777777" w:rsidR="003F0957" w:rsidRPr="00193974" w:rsidRDefault="003F0957">
            <w:pPr>
              <w:spacing w:after="0" w:line="240" w:lineRule="auto"/>
              <w:jc w:val="center"/>
              <w:rPr>
                <w:szCs w:val="28"/>
              </w:rPr>
            </w:pPr>
          </w:p>
        </w:tc>
        <w:tc>
          <w:tcPr>
            <w:tcW w:w="8424" w:type="dxa"/>
            <w:shd w:val="clear" w:color="auto" w:fill="F7F0E5"/>
            <w:tcMar>
              <w:top w:w="120" w:type="dxa"/>
              <w:left w:w="130" w:type="dxa"/>
              <w:bottom w:w="120" w:type="dxa"/>
              <w:right w:w="130" w:type="dxa"/>
            </w:tcMar>
            <w:vAlign w:val="center"/>
          </w:tcPr>
          <w:p w14:paraId="2ED2690B" w14:textId="4AD9DDDE" w:rsidR="003F0957" w:rsidRPr="00193974" w:rsidRDefault="001269E1">
            <w:pPr>
              <w:spacing w:after="0" w:line="240" w:lineRule="auto"/>
              <w:rPr>
                <w:szCs w:val="28"/>
              </w:rPr>
            </w:pPr>
            <w:r w:rsidRPr="00193974">
              <w:rPr>
                <w:b/>
                <w:color w:val="2B201C"/>
                <w:szCs w:val="28"/>
              </w:rPr>
              <w:t xml:space="preserve">Elena Georgiou | </w:t>
            </w:r>
            <w:r w:rsidRPr="00193974">
              <w:rPr>
                <w:color w:val="2B201C"/>
                <w:szCs w:val="28"/>
              </w:rPr>
              <w:t>“Where youth? No find her”</w:t>
            </w:r>
            <w:r w:rsidR="00DC0BF0">
              <w:rPr>
                <w:color w:val="2B201C"/>
                <w:szCs w:val="28"/>
              </w:rPr>
              <w:t>:</w:t>
            </w:r>
            <w:r w:rsidRPr="00193974">
              <w:rPr>
                <w:color w:val="2B201C"/>
                <w:szCs w:val="28"/>
              </w:rPr>
              <w:t xml:space="preserve"> Liberation, Embodiment and the </w:t>
            </w:r>
            <w:proofErr w:type="spellStart"/>
            <w:r w:rsidRPr="00193974">
              <w:rPr>
                <w:color w:val="2B201C"/>
                <w:szCs w:val="28"/>
              </w:rPr>
              <w:t>Performative</w:t>
            </w:r>
            <w:proofErr w:type="spellEnd"/>
            <w:r w:rsidRPr="00193974">
              <w:rPr>
                <w:color w:val="2B201C"/>
                <w:szCs w:val="28"/>
              </w:rPr>
              <w:t xml:space="preserve"> in Elsa von Freytag-</w:t>
            </w:r>
            <w:proofErr w:type="spellStart"/>
            <w:r w:rsidRPr="00193974">
              <w:rPr>
                <w:color w:val="2B201C"/>
                <w:szCs w:val="28"/>
              </w:rPr>
              <w:t>Loringhoven</w:t>
            </w:r>
            <w:proofErr w:type="spellEnd"/>
          </w:p>
        </w:tc>
      </w:tr>
      <w:tr w:rsidR="003F0957" w:rsidRPr="00193974" w14:paraId="15715394" w14:textId="77777777" w:rsidTr="00D8517B">
        <w:trPr>
          <w:trHeight w:val="794"/>
          <w:jc w:val="center"/>
        </w:trPr>
        <w:tc>
          <w:tcPr>
            <w:tcW w:w="1656" w:type="dxa"/>
            <w:shd w:val="clear" w:color="auto" w:fill="F7F0E5"/>
            <w:tcMar>
              <w:top w:w="120" w:type="dxa"/>
              <w:left w:w="130" w:type="dxa"/>
              <w:bottom w:w="120" w:type="dxa"/>
              <w:right w:w="130" w:type="dxa"/>
            </w:tcMar>
            <w:vAlign w:val="center"/>
          </w:tcPr>
          <w:p w14:paraId="0801978C" w14:textId="77777777" w:rsidR="003F0957" w:rsidRPr="00193974" w:rsidRDefault="003F0957">
            <w:pPr>
              <w:spacing w:after="0" w:line="240" w:lineRule="auto"/>
              <w:jc w:val="center"/>
              <w:rPr>
                <w:szCs w:val="28"/>
              </w:rPr>
            </w:pPr>
          </w:p>
        </w:tc>
        <w:tc>
          <w:tcPr>
            <w:tcW w:w="8424" w:type="dxa"/>
            <w:shd w:val="clear" w:color="auto" w:fill="F7F0E5"/>
            <w:tcMar>
              <w:top w:w="120" w:type="dxa"/>
              <w:left w:w="130" w:type="dxa"/>
              <w:bottom w:w="120" w:type="dxa"/>
              <w:right w:w="130" w:type="dxa"/>
            </w:tcMar>
            <w:vAlign w:val="center"/>
          </w:tcPr>
          <w:p w14:paraId="401F8D02" w14:textId="77777777" w:rsidR="003F0957" w:rsidRPr="00193974" w:rsidRDefault="001269E1">
            <w:pPr>
              <w:spacing w:after="0" w:line="240" w:lineRule="auto"/>
              <w:rPr>
                <w:szCs w:val="28"/>
              </w:rPr>
            </w:pPr>
            <w:proofErr w:type="spellStart"/>
            <w:r w:rsidRPr="00193974">
              <w:rPr>
                <w:b/>
                <w:color w:val="2B201C"/>
                <w:szCs w:val="28"/>
              </w:rPr>
              <w:t>Sevi</w:t>
            </w:r>
            <w:proofErr w:type="spellEnd"/>
            <w:r w:rsidRPr="00193974">
              <w:rPr>
                <w:b/>
                <w:color w:val="2B201C"/>
                <w:szCs w:val="28"/>
              </w:rPr>
              <w:t xml:space="preserve"> </w:t>
            </w:r>
            <w:proofErr w:type="spellStart"/>
            <w:r w:rsidRPr="00193974">
              <w:rPr>
                <w:b/>
                <w:color w:val="2B201C"/>
                <w:szCs w:val="28"/>
              </w:rPr>
              <w:t>Kriara</w:t>
            </w:r>
            <w:proofErr w:type="spellEnd"/>
            <w:r w:rsidRPr="00193974">
              <w:rPr>
                <w:b/>
                <w:color w:val="2B201C"/>
                <w:szCs w:val="28"/>
              </w:rPr>
              <w:t xml:space="preserve"> | </w:t>
            </w:r>
            <w:r w:rsidRPr="00193974">
              <w:rPr>
                <w:color w:val="2B201C"/>
                <w:szCs w:val="28"/>
              </w:rPr>
              <w:t xml:space="preserve">May-B, there is a New Camino: Decolonizing the Margin in S. Beckett’s </w:t>
            </w:r>
            <w:r w:rsidRPr="00452988">
              <w:rPr>
                <w:i/>
                <w:iCs/>
                <w:color w:val="2B201C"/>
                <w:szCs w:val="28"/>
              </w:rPr>
              <w:t>Footfalls</w:t>
            </w:r>
            <w:r w:rsidRPr="00193974">
              <w:rPr>
                <w:color w:val="2B201C"/>
                <w:szCs w:val="28"/>
              </w:rPr>
              <w:t xml:space="preserve"> and T. Williams’s </w:t>
            </w:r>
            <w:r w:rsidRPr="00452988">
              <w:rPr>
                <w:i/>
                <w:iCs/>
                <w:color w:val="2B201C"/>
                <w:szCs w:val="28"/>
              </w:rPr>
              <w:t>Camino Real</w:t>
            </w:r>
          </w:p>
        </w:tc>
      </w:tr>
      <w:tr w:rsidR="003F0957" w:rsidRPr="00193974" w14:paraId="54DE40FD" w14:textId="77777777" w:rsidTr="00D8517B">
        <w:trPr>
          <w:trHeight w:val="794"/>
          <w:jc w:val="center"/>
        </w:trPr>
        <w:tc>
          <w:tcPr>
            <w:tcW w:w="1656" w:type="dxa"/>
            <w:shd w:val="clear" w:color="auto" w:fill="F7F0E5"/>
            <w:tcMar>
              <w:top w:w="120" w:type="dxa"/>
              <w:left w:w="130" w:type="dxa"/>
              <w:bottom w:w="120" w:type="dxa"/>
              <w:right w:w="130" w:type="dxa"/>
            </w:tcMar>
            <w:vAlign w:val="center"/>
          </w:tcPr>
          <w:p w14:paraId="37A0240A" w14:textId="77777777" w:rsidR="003F0957" w:rsidRPr="00193974" w:rsidRDefault="003F0957">
            <w:pPr>
              <w:spacing w:after="0" w:line="240" w:lineRule="auto"/>
              <w:jc w:val="center"/>
              <w:rPr>
                <w:szCs w:val="28"/>
              </w:rPr>
            </w:pPr>
          </w:p>
        </w:tc>
        <w:tc>
          <w:tcPr>
            <w:tcW w:w="8424" w:type="dxa"/>
            <w:shd w:val="clear" w:color="auto" w:fill="F7F0E5"/>
            <w:tcMar>
              <w:top w:w="120" w:type="dxa"/>
              <w:left w:w="130" w:type="dxa"/>
              <w:bottom w:w="120" w:type="dxa"/>
              <w:right w:w="130" w:type="dxa"/>
            </w:tcMar>
            <w:vAlign w:val="center"/>
          </w:tcPr>
          <w:p w14:paraId="15937438" w14:textId="77777777" w:rsidR="003F0957" w:rsidRPr="00193974" w:rsidRDefault="001269E1">
            <w:pPr>
              <w:spacing w:after="0" w:line="240" w:lineRule="auto"/>
              <w:rPr>
                <w:szCs w:val="28"/>
              </w:rPr>
            </w:pPr>
            <w:proofErr w:type="spellStart"/>
            <w:r w:rsidRPr="00193974">
              <w:rPr>
                <w:b/>
                <w:color w:val="2B201C"/>
                <w:szCs w:val="28"/>
              </w:rPr>
              <w:t>Caterina</w:t>
            </w:r>
            <w:proofErr w:type="spellEnd"/>
            <w:r w:rsidRPr="00193974">
              <w:rPr>
                <w:b/>
                <w:color w:val="2B201C"/>
                <w:szCs w:val="28"/>
              </w:rPr>
              <w:t xml:space="preserve"> </w:t>
            </w:r>
            <w:proofErr w:type="spellStart"/>
            <w:r w:rsidRPr="00193974">
              <w:rPr>
                <w:b/>
                <w:color w:val="2B201C"/>
                <w:szCs w:val="28"/>
              </w:rPr>
              <w:t>Stamou</w:t>
            </w:r>
            <w:proofErr w:type="spellEnd"/>
            <w:r w:rsidRPr="00193974">
              <w:rPr>
                <w:b/>
                <w:color w:val="2B201C"/>
                <w:szCs w:val="28"/>
              </w:rPr>
              <w:t xml:space="preserve"> | </w:t>
            </w:r>
            <w:r w:rsidRPr="00193974">
              <w:rPr>
                <w:color w:val="2B201C"/>
                <w:szCs w:val="28"/>
              </w:rPr>
              <w:t>Reparative Genealogy and Epistemology: A Brief Theoretical Overview</w:t>
            </w:r>
          </w:p>
        </w:tc>
      </w:tr>
      <w:tr w:rsidR="003F0957" w:rsidRPr="00193974" w14:paraId="30746F6C" w14:textId="77777777" w:rsidTr="00D8517B">
        <w:trPr>
          <w:trHeight w:val="794"/>
          <w:jc w:val="center"/>
        </w:trPr>
        <w:tc>
          <w:tcPr>
            <w:tcW w:w="1656" w:type="dxa"/>
            <w:shd w:val="clear" w:color="auto" w:fill="F7F0E5"/>
            <w:tcMar>
              <w:top w:w="120" w:type="dxa"/>
              <w:left w:w="130" w:type="dxa"/>
              <w:bottom w:w="120" w:type="dxa"/>
              <w:right w:w="130" w:type="dxa"/>
            </w:tcMar>
            <w:vAlign w:val="center"/>
          </w:tcPr>
          <w:p w14:paraId="6D701009" w14:textId="77777777" w:rsidR="003F0957" w:rsidRPr="00193974" w:rsidRDefault="003F0957">
            <w:pPr>
              <w:spacing w:after="0" w:line="240" w:lineRule="auto"/>
              <w:jc w:val="center"/>
              <w:rPr>
                <w:szCs w:val="28"/>
              </w:rPr>
            </w:pPr>
          </w:p>
        </w:tc>
        <w:tc>
          <w:tcPr>
            <w:tcW w:w="8424" w:type="dxa"/>
            <w:shd w:val="clear" w:color="auto" w:fill="F7F0E5"/>
            <w:tcMar>
              <w:top w:w="120" w:type="dxa"/>
              <w:left w:w="130" w:type="dxa"/>
              <w:bottom w:w="120" w:type="dxa"/>
              <w:right w:w="130" w:type="dxa"/>
            </w:tcMar>
            <w:vAlign w:val="center"/>
          </w:tcPr>
          <w:p w14:paraId="7F241935" w14:textId="77777777" w:rsidR="003F0957" w:rsidRDefault="001269E1">
            <w:pPr>
              <w:spacing w:after="0" w:line="240" w:lineRule="auto"/>
              <w:rPr>
                <w:color w:val="2B201C"/>
                <w:szCs w:val="28"/>
              </w:rPr>
            </w:pPr>
            <w:r w:rsidRPr="00193974">
              <w:rPr>
                <w:b/>
                <w:color w:val="2B201C"/>
                <w:szCs w:val="28"/>
              </w:rPr>
              <w:t xml:space="preserve">Spyros </w:t>
            </w:r>
            <w:proofErr w:type="spellStart"/>
            <w:r w:rsidRPr="00193974">
              <w:rPr>
                <w:b/>
                <w:color w:val="2B201C"/>
                <w:szCs w:val="28"/>
              </w:rPr>
              <w:t>Papastamos</w:t>
            </w:r>
            <w:proofErr w:type="spellEnd"/>
            <w:r w:rsidRPr="00193974">
              <w:rPr>
                <w:b/>
                <w:color w:val="2B201C"/>
                <w:szCs w:val="28"/>
              </w:rPr>
              <w:t xml:space="preserve"> | </w:t>
            </w:r>
            <w:proofErr w:type="spellStart"/>
            <w:r w:rsidRPr="00193974">
              <w:rPr>
                <w:color w:val="2B201C"/>
                <w:szCs w:val="28"/>
              </w:rPr>
              <w:t>Performative</w:t>
            </w:r>
            <w:proofErr w:type="spellEnd"/>
            <w:r w:rsidRPr="00193974">
              <w:rPr>
                <w:color w:val="2B201C"/>
                <w:szCs w:val="28"/>
              </w:rPr>
              <w:t xml:space="preserve"> (Fugitive) Writing and the Black Radical Tradition in </w:t>
            </w:r>
            <w:r w:rsidR="00452988">
              <w:rPr>
                <w:color w:val="2B201C"/>
                <w:szCs w:val="28"/>
              </w:rPr>
              <w:t xml:space="preserve">Fred </w:t>
            </w:r>
            <w:proofErr w:type="spellStart"/>
            <w:r w:rsidR="00452988">
              <w:rPr>
                <w:color w:val="2B201C"/>
                <w:szCs w:val="28"/>
              </w:rPr>
              <w:t>Moten’s</w:t>
            </w:r>
            <w:proofErr w:type="spellEnd"/>
            <w:r w:rsidR="00452988">
              <w:rPr>
                <w:color w:val="2B201C"/>
                <w:szCs w:val="28"/>
              </w:rPr>
              <w:t xml:space="preserve"> </w:t>
            </w:r>
            <w:r w:rsidR="00452988" w:rsidRPr="00302F22">
              <w:rPr>
                <w:i/>
                <w:iCs/>
                <w:color w:val="2B201C"/>
                <w:szCs w:val="28"/>
              </w:rPr>
              <w:t>Black and Blur</w:t>
            </w:r>
            <w:r w:rsidR="00452988">
              <w:rPr>
                <w:color w:val="2B201C"/>
                <w:szCs w:val="28"/>
              </w:rPr>
              <w:t xml:space="preserve"> and </w:t>
            </w:r>
            <w:r w:rsidR="00452988" w:rsidRPr="00302F22">
              <w:rPr>
                <w:i/>
                <w:iCs/>
                <w:color w:val="2B201C"/>
                <w:szCs w:val="28"/>
              </w:rPr>
              <w:t>Stolen Life</w:t>
            </w:r>
          </w:p>
          <w:p w14:paraId="26E814D8" w14:textId="77777777" w:rsidR="00452988" w:rsidRPr="00193974" w:rsidRDefault="00452988">
            <w:pPr>
              <w:spacing w:after="0" w:line="240" w:lineRule="auto"/>
              <w:rPr>
                <w:szCs w:val="28"/>
              </w:rPr>
            </w:pPr>
          </w:p>
        </w:tc>
      </w:tr>
      <w:tr w:rsidR="003F0957" w:rsidRPr="00193974" w14:paraId="3B687E58" w14:textId="77777777" w:rsidTr="00D8517B">
        <w:trPr>
          <w:trHeight w:val="794"/>
          <w:jc w:val="center"/>
        </w:trPr>
        <w:tc>
          <w:tcPr>
            <w:tcW w:w="1656" w:type="dxa"/>
            <w:shd w:val="clear" w:color="auto" w:fill="6A4558"/>
            <w:tcMar>
              <w:top w:w="120" w:type="dxa"/>
              <w:left w:w="130" w:type="dxa"/>
              <w:bottom w:w="120" w:type="dxa"/>
              <w:right w:w="130" w:type="dxa"/>
            </w:tcMar>
            <w:vAlign w:val="center"/>
          </w:tcPr>
          <w:p w14:paraId="7DE34A9D" w14:textId="77777777" w:rsidR="003F0957" w:rsidRPr="00193974" w:rsidRDefault="001269E1">
            <w:pPr>
              <w:spacing w:after="0" w:line="240" w:lineRule="auto"/>
              <w:jc w:val="center"/>
              <w:rPr>
                <w:szCs w:val="28"/>
              </w:rPr>
            </w:pPr>
            <w:r w:rsidRPr="00193974">
              <w:rPr>
                <w:b/>
                <w:color w:val="FFFFFF"/>
                <w:szCs w:val="28"/>
              </w:rPr>
              <w:t>15:40–16:50</w:t>
            </w:r>
          </w:p>
        </w:tc>
        <w:tc>
          <w:tcPr>
            <w:tcW w:w="8424" w:type="dxa"/>
            <w:shd w:val="clear" w:color="auto" w:fill="6A4558"/>
            <w:tcMar>
              <w:top w:w="120" w:type="dxa"/>
              <w:left w:w="130" w:type="dxa"/>
              <w:bottom w:w="120" w:type="dxa"/>
              <w:right w:w="130" w:type="dxa"/>
            </w:tcMar>
            <w:vAlign w:val="center"/>
          </w:tcPr>
          <w:p w14:paraId="13B254B6" w14:textId="77777777" w:rsidR="003F0957" w:rsidRPr="00193974" w:rsidRDefault="001269E1">
            <w:pPr>
              <w:spacing w:after="0" w:line="240" w:lineRule="auto"/>
              <w:rPr>
                <w:szCs w:val="28"/>
              </w:rPr>
            </w:pPr>
            <w:r w:rsidRPr="00193974">
              <w:rPr>
                <w:b/>
                <w:color w:val="FFFFFF"/>
                <w:szCs w:val="28"/>
              </w:rPr>
              <w:t xml:space="preserve">Reflections from recent graduates of the PhD </w:t>
            </w:r>
            <w:proofErr w:type="spellStart"/>
            <w:r w:rsidRPr="00193974">
              <w:rPr>
                <w:b/>
                <w:color w:val="FFFFFF"/>
                <w:szCs w:val="28"/>
              </w:rPr>
              <w:t>Programme</w:t>
            </w:r>
            <w:proofErr w:type="spellEnd"/>
            <w:r w:rsidRPr="00193974">
              <w:rPr>
                <w:b/>
                <w:color w:val="FFFFFF"/>
                <w:szCs w:val="28"/>
              </w:rPr>
              <w:t xml:space="preserve"> </w:t>
            </w:r>
            <w:r w:rsidR="00671E76">
              <w:rPr>
                <w:b/>
                <w:color w:val="FFFFFF"/>
                <w:szCs w:val="28"/>
              </w:rPr>
              <w:t>“</w:t>
            </w:r>
            <w:r w:rsidRPr="00193974">
              <w:rPr>
                <w:b/>
                <w:color w:val="FFFFFF"/>
                <w:szCs w:val="28"/>
              </w:rPr>
              <w:t>Anglophone Literature and Culture</w:t>
            </w:r>
            <w:r w:rsidR="00671E76">
              <w:rPr>
                <w:b/>
                <w:color w:val="FFFFFF"/>
                <w:szCs w:val="28"/>
              </w:rPr>
              <w:t>”</w:t>
            </w:r>
          </w:p>
        </w:tc>
      </w:tr>
      <w:tr w:rsidR="003F0957" w:rsidRPr="00193974" w14:paraId="66999198" w14:textId="77777777" w:rsidTr="00D8517B">
        <w:trPr>
          <w:trHeight w:val="794"/>
          <w:jc w:val="center"/>
        </w:trPr>
        <w:tc>
          <w:tcPr>
            <w:tcW w:w="1656" w:type="dxa"/>
            <w:shd w:val="clear" w:color="auto" w:fill="EADCCB"/>
            <w:tcMar>
              <w:top w:w="120" w:type="dxa"/>
              <w:left w:w="130" w:type="dxa"/>
              <w:bottom w:w="120" w:type="dxa"/>
              <w:right w:w="130" w:type="dxa"/>
            </w:tcMar>
            <w:vAlign w:val="center"/>
          </w:tcPr>
          <w:p w14:paraId="32C3C099" w14:textId="77777777" w:rsidR="003F0957" w:rsidRPr="00193974" w:rsidRDefault="001269E1">
            <w:pPr>
              <w:spacing w:after="0" w:line="240" w:lineRule="auto"/>
              <w:jc w:val="center"/>
              <w:rPr>
                <w:szCs w:val="28"/>
              </w:rPr>
            </w:pPr>
            <w:r w:rsidRPr="00193974">
              <w:rPr>
                <w:b/>
                <w:color w:val="2B201C"/>
                <w:szCs w:val="28"/>
              </w:rPr>
              <w:t>16:50–17:00</w:t>
            </w:r>
          </w:p>
        </w:tc>
        <w:tc>
          <w:tcPr>
            <w:tcW w:w="8424" w:type="dxa"/>
            <w:shd w:val="clear" w:color="auto" w:fill="EADCCB"/>
            <w:tcMar>
              <w:top w:w="120" w:type="dxa"/>
              <w:left w:w="130" w:type="dxa"/>
              <w:bottom w:w="120" w:type="dxa"/>
              <w:right w:w="130" w:type="dxa"/>
            </w:tcMar>
            <w:vAlign w:val="center"/>
          </w:tcPr>
          <w:p w14:paraId="1AC08420" w14:textId="77777777" w:rsidR="003F0957" w:rsidRPr="00193974" w:rsidRDefault="001269E1">
            <w:pPr>
              <w:spacing w:after="0" w:line="240" w:lineRule="auto"/>
              <w:rPr>
                <w:szCs w:val="28"/>
              </w:rPr>
            </w:pPr>
            <w:r w:rsidRPr="00193974">
              <w:rPr>
                <w:b/>
                <w:color w:val="2B201C"/>
                <w:szCs w:val="28"/>
              </w:rPr>
              <w:t>Closing remarks &amp; open discussion</w:t>
            </w:r>
          </w:p>
        </w:tc>
      </w:tr>
    </w:tbl>
    <w:p w14:paraId="2C73697C" w14:textId="77777777" w:rsidR="00BA48F0" w:rsidRDefault="00BA48F0">
      <w:pPr>
        <w:spacing w:before="360" w:after="40" w:line="240" w:lineRule="auto"/>
        <w:jc w:val="center"/>
        <w:rPr>
          <w:b/>
          <w:color w:val="8A776A"/>
          <w:sz w:val="17"/>
        </w:rPr>
      </w:pPr>
    </w:p>
    <w:p w14:paraId="62A277C9" w14:textId="77777777" w:rsidR="00BA48F0" w:rsidRDefault="00BA48F0">
      <w:pPr>
        <w:spacing w:before="360" w:after="40" w:line="240" w:lineRule="auto"/>
        <w:jc w:val="center"/>
        <w:rPr>
          <w:b/>
          <w:color w:val="8A776A"/>
          <w:sz w:val="17"/>
        </w:rPr>
      </w:pPr>
    </w:p>
    <w:p w14:paraId="0DDA4DA3" w14:textId="77777777" w:rsidR="003F0957" w:rsidRDefault="001269E1">
      <w:pPr>
        <w:spacing w:before="360" w:after="40" w:line="240" w:lineRule="auto"/>
        <w:jc w:val="center"/>
      </w:pPr>
      <w:r>
        <w:rPr>
          <w:b/>
          <w:color w:val="8A776A"/>
          <w:sz w:val="17"/>
        </w:rPr>
        <w:t>Organizing Committee</w:t>
      </w:r>
    </w:p>
    <w:p w14:paraId="0AE1241C" w14:textId="77777777" w:rsidR="003F0957" w:rsidRDefault="001269E1">
      <w:pPr>
        <w:spacing w:after="0" w:line="240" w:lineRule="auto"/>
        <w:jc w:val="center"/>
      </w:pPr>
      <w:proofErr w:type="spellStart"/>
      <w:r>
        <w:rPr>
          <w:rFonts w:ascii="EB Garamond" w:hAnsi="EB Garamond"/>
          <w:b/>
          <w:i/>
          <w:color w:val="8A776A"/>
        </w:rPr>
        <w:t>Dr</w:t>
      </w:r>
      <w:proofErr w:type="spellEnd"/>
      <w:r>
        <w:rPr>
          <w:rFonts w:ascii="EB Garamond" w:hAnsi="EB Garamond"/>
          <w:b/>
          <w:i/>
          <w:color w:val="8A776A"/>
        </w:rPr>
        <w:t xml:space="preserve"> </w:t>
      </w:r>
      <w:proofErr w:type="spellStart"/>
      <w:r>
        <w:rPr>
          <w:rFonts w:ascii="EB Garamond" w:hAnsi="EB Garamond"/>
          <w:b/>
          <w:i/>
          <w:color w:val="8A776A"/>
        </w:rPr>
        <w:t>Angelos</w:t>
      </w:r>
      <w:proofErr w:type="spellEnd"/>
      <w:r>
        <w:rPr>
          <w:rFonts w:ascii="EB Garamond" w:hAnsi="EB Garamond"/>
          <w:b/>
          <w:i/>
          <w:color w:val="8A776A"/>
        </w:rPr>
        <w:t xml:space="preserve"> </w:t>
      </w:r>
      <w:proofErr w:type="spellStart"/>
      <w:r>
        <w:rPr>
          <w:rFonts w:ascii="EB Garamond" w:hAnsi="EB Garamond"/>
          <w:b/>
          <w:i/>
          <w:color w:val="8A776A"/>
        </w:rPr>
        <w:t>Evangelou</w:t>
      </w:r>
      <w:proofErr w:type="spellEnd"/>
      <w:r>
        <w:rPr>
          <w:rFonts w:ascii="EB Garamond" w:hAnsi="EB Garamond"/>
          <w:b/>
          <w:i/>
          <w:color w:val="8A776A"/>
        </w:rPr>
        <w:t xml:space="preserve"> and </w:t>
      </w:r>
      <w:proofErr w:type="spellStart"/>
      <w:r>
        <w:rPr>
          <w:rFonts w:ascii="EB Garamond" w:hAnsi="EB Garamond"/>
          <w:b/>
          <w:i/>
          <w:color w:val="8A776A"/>
        </w:rPr>
        <w:t>Dr</w:t>
      </w:r>
      <w:proofErr w:type="spellEnd"/>
      <w:r>
        <w:rPr>
          <w:rFonts w:ascii="EB Garamond" w:hAnsi="EB Garamond"/>
          <w:b/>
          <w:i/>
          <w:color w:val="8A776A"/>
        </w:rPr>
        <w:t xml:space="preserve"> </w:t>
      </w:r>
      <w:proofErr w:type="spellStart"/>
      <w:r>
        <w:rPr>
          <w:rFonts w:ascii="EB Garamond" w:hAnsi="EB Garamond"/>
          <w:b/>
          <w:i/>
          <w:color w:val="8A776A"/>
        </w:rPr>
        <w:t>Aikaterini</w:t>
      </w:r>
      <w:proofErr w:type="spellEnd"/>
      <w:r>
        <w:rPr>
          <w:rFonts w:ascii="EB Garamond" w:hAnsi="EB Garamond"/>
          <w:b/>
          <w:i/>
          <w:color w:val="8A776A"/>
        </w:rPr>
        <w:t xml:space="preserve"> </w:t>
      </w:r>
      <w:proofErr w:type="spellStart"/>
      <w:r>
        <w:rPr>
          <w:rFonts w:ascii="EB Garamond" w:hAnsi="EB Garamond"/>
          <w:b/>
          <w:i/>
          <w:color w:val="8A776A"/>
        </w:rPr>
        <w:t>Delikonstantinidou</w:t>
      </w:r>
      <w:proofErr w:type="spellEnd"/>
    </w:p>
    <w:p w14:paraId="7A32FAFE" w14:textId="77777777" w:rsidR="003F0957" w:rsidRDefault="001269E1">
      <w:r>
        <w:br w:type="page"/>
      </w:r>
    </w:p>
    <w:p w14:paraId="10D3E4A7" w14:textId="77777777" w:rsidR="00217F5E" w:rsidRDefault="00213E83">
      <w:pPr>
        <w:pBdr>
          <w:bottom w:val="single" w:sz="14" w:space="5" w:color="B85C38"/>
        </w:pBdr>
        <w:spacing w:after="140" w:line="240" w:lineRule="auto"/>
      </w:pPr>
      <w:r>
        <w:rPr>
          <w:rFonts w:ascii="EB Garamond" w:hAnsi="EB Garamond"/>
          <w:b/>
          <w:color w:val="2B201C"/>
          <w:sz w:val="34"/>
        </w:rPr>
        <w:t>NOTES</w:t>
      </w:r>
    </w:p>
    <w:tbl>
      <w:tblPr>
        <w:tblW w:w="10080" w:type="dxa"/>
        <w:tblLayout w:type="fixed"/>
        <w:tblCellMar>
          <w:left w:w="0" w:type="dxa"/>
          <w:right w:w="0" w:type="dxa"/>
        </w:tblCellMar>
        <w:tblLook w:val="04A0" w:firstRow="1" w:lastRow="0" w:firstColumn="1" w:lastColumn="0" w:noHBand="0" w:noVBand="1"/>
      </w:tblPr>
      <w:tblGrid>
        <w:gridCol w:w="10080"/>
      </w:tblGrid>
      <w:tr w:rsidR="00217F5E" w14:paraId="53656F7E" w14:textId="77777777">
        <w:trPr>
          <w:trHeight w:hRule="exact" w:val="570"/>
        </w:trPr>
        <w:tc>
          <w:tcPr>
            <w:tcW w:w="10080" w:type="dxa"/>
            <w:tcBorders>
              <w:top w:val="nil"/>
              <w:left w:val="nil"/>
              <w:bottom w:val="single" w:sz="4" w:space="0" w:color="D8C9C1"/>
              <w:right w:val="nil"/>
            </w:tcBorders>
            <w:tcMar>
              <w:top w:w="0" w:type="dxa"/>
              <w:left w:w="0" w:type="dxa"/>
              <w:bottom w:w="0" w:type="dxa"/>
              <w:right w:w="0" w:type="dxa"/>
            </w:tcMar>
          </w:tcPr>
          <w:p w14:paraId="2BF7903E" w14:textId="77777777" w:rsidR="00217F5E" w:rsidRDefault="00213E83">
            <w:pPr>
              <w:spacing w:after="0" w:line="20" w:lineRule="exact"/>
            </w:pPr>
            <w:r>
              <w:rPr>
                <w:color w:val="FFFFFF"/>
                <w:sz w:val="2"/>
              </w:rPr>
              <w:t> </w:t>
            </w:r>
          </w:p>
        </w:tc>
      </w:tr>
      <w:tr w:rsidR="00217F5E" w14:paraId="59E7B000" w14:textId="77777777">
        <w:trPr>
          <w:trHeight w:hRule="exact" w:val="570"/>
        </w:trPr>
        <w:tc>
          <w:tcPr>
            <w:tcW w:w="10080" w:type="dxa"/>
            <w:tcBorders>
              <w:top w:val="nil"/>
              <w:left w:val="nil"/>
              <w:bottom w:val="single" w:sz="4" w:space="0" w:color="D8C9C1"/>
              <w:right w:val="nil"/>
            </w:tcBorders>
            <w:tcMar>
              <w:top w:w="0" w:type="dxa"/>
              <w:left w:w="0" w:type="dxa"/>
              <w:bottom w:w="0" w:type="dxa"/>
              <w:right w:w="0" w:type="dxa"/>
            </w:tcMar>
          </w:tcPr>
          <w:p w14:paraId="75730DDC" w14:textId="77777777" w:rsidR="00217F5E" w:rsidRDefault="00213E83">
            <w:pPr>
              <w:spacing w:after="0" w:line="20" w:lineRule="exact"/>
            </w:pPr>
            <w:r>
              <w:rPr>
                <w:color w:val="FFFFFF"/>
                <w:sz w:val="2"/>
              </w:rPr>
              <w:t> </w:t>
            </w:r>
          </w:p>
        </w:tc>
      </w:tr>
      <w:tr w:rsidR="00217F5E" w14:paraId="4B430AA3" w14:textId="77777777">
        <w:trPr>
          <w:trHeight w:hRule="exact" w:val="570"/>
        </w:trPr>
        <w:tc>
          <w:tcPr>
            <w:tcW w:w="10080" w:type="dxa"/>
            <w:tcBorders>
              <w:top w:val="nil"/>
              <w:left w:val="nil"/>
              <w:bottom w:val="single" w:sz="4" w:space="0" w:color="D8C9C1"/>
              <w:right w:val="nil"/>
            </w:tcBorders>
            <w:tcMar>
              <w:top w:w="0" w:type="dxa"/>
              <w:left w:w="0" w:type="dxa"/>
              <w:bottom w:w="0" w:type="dxa"/>
              <w:right w:w="0" w:type="dxa"/>
            </w:tcMar>
          </w:tcPr>
          <w:p w14:paraId="2857CC3D" w14:textId="77777777" w:rsidR="00217F5E" w:rsidRDefault="00213E83">
            <w:pPr>
              <w:spacing w:after="0" w:line="20" w:lineRule="exact"/>
            </w:pPr>
            <w:r>
              <w:rPr>
                <w:color w:val="FFFFFF"/>
                <w:sz w:val="2"/>
              </w:rPr>
              <w:t> </w:t>
            </w:r>
          </w:p>
        </w:tc>
      </w:tr>
      <w:tr w:rsidR="00217F5E" w14:paraId="0F532B4B" w14:textId="77777777">
        <w:trPr>
          <w:trHeight w:hRule="exact" w:val="570"/>
        </w:trPr>
        <w:tc>
          <w:tcPr>
            <w:tcW w:w="10080" w:type="dxa"/>
            <w:tcBorders>
              <w:top w:val="nil"/>
              <w:left w:val="nil"/>
              <w:bottom w:val="single" w:sz="4" w:space="0" w:color="D8C9C1"/>
              <w:right w:val="nil"/>
            </w:tcBorders>
            <w:tcMar>
              <w:top w:w="0" w:type="dxa"/>
              <w:left w:w="0" w:type="dxa"/>
              <w:bottom w:w="0" w:type="dxa"/>
              <w:right w:w="0" w:type="dxa"/>
            </w:tcMar>
          </w:tcPr>
          <w:p w14:paraId="65FBFE2F" w14:textId="77777777" w:rsidR="00217F5E" w:rsidRDefault="00213E83">
            <w:pPr>
              <w:spacing w:after="0" w:line="20" w:lineRule="exact"/>
            </w:pPr>
            <w:r>
              <w:rPr>
                <w:color w:val="FFFFFF"/>
                <w:sz w:val="2"/>
              </w:rPr>
              <w:t> </w:t>
            </w:r>
          </w:p>
        </w:tc>
      </w:tr>
      <w:tr w:rsidR="00217F5E" w14:paraId="02C6120F" w14:textId="77777777">
        <w:trPr>
          <w:trHeight w:hRule="exact" w:val="570"/>
        </w:trPr>
        <w:tc>
          <w:tcPr>
            <w:tcW w:w="10080" w:type="dxa"/>
            <w:tcBorders>
              <w:top w:val="nil"/>
              <w:left w:val="nil"/>
              <w:bottom w:val="single" w:sz="4" w:space="0" w:color="D8C9C1"/>
              <w:right w:val="nil"/>
            </w:tcBorders>
            <w:tcMar>
              <w:top w:w="0" w:type="dxa"/>
              <w:left w:w="0" w:type="dxa"/>
              <w:bottom w:w="0" w:type="dxa"/>
              <w:right w:w="0" w:type="dxa"/>
            </w:tcMar>
          </w:tcPr>
          <w:p w14:paraId="04B08409" w14:textId="77777777" w:rsidR="00217F5E" w:rsidRDefault="00213E83">
            <w:pPr>
              <w:spacing w:after="0" w:line="20" w:lineRule="exact"/>
            </w:pPr>
            <w:r>
              <w:rPr>
                <w:color w:val="FFFFFF"/>
                <w:sz w:val="2"/>
              </w:rPr>
              <w:t> </w:t>
            </w:r>
          </w:p>
        </w:tc>
      </w:tr>
      <w:tr w:rsidR="00217F5E" w14:paraId="7CE2B295" w14:textId="77777777">
        <w:trPr>
          <w:trHeight w:hRule="exact" w:val="570"/>
        </w:trPr>
        <w:tc>
          <w:tcPr>
            <w:tcW w:w="10080" w:type="dxa"/>
            <w:tcBorders>
              <w:top w:val="nil"/>
              <w:left w:val="nil"/>
              <w:bottom w:val="single" w:sz="4" w:space="0" w:color="D8C9C1"/>
              <w:right w:val="nil"/>
            </w:tcBorders>
            <w:tcMar>
              <w:top w:w="0" w:type="dxa"/>
              <w:left w:w="0" w:type="dxa"/>
              <w:bottom w:w="0" w:type="dxa"/>
              <w:right w:w="0" w:type="dxa"/>
            </w:tcMar>
          </w:tcPr>
          <w:p w14:paraId="03AF7330" w14:textId="77777777" w:rsidR="00217F5E" w:rsidRDefault="00213E83">
            <w:pPr>
              <w:spacing w:after="0" w:line="20" w:lineRule="exact"/>
            </w:pPr>
            <w:r>
              <w:rPr>
                <w:color w:val="FFFFFF"/>
                <w:sz w:val="2"/>
              </w:rPr>
              <w:t> </w:t>
            </w:r>
          </w:p>
        </w:tc>
      </w:tr>
      <w:tr w:rsidR="00217F5E" w14:paraId="6C3C364D" w14:textId="77777777">
        <w:trPr>
          <w:trHeight w:hRule="exact" w:val="570"/>
        </w:trPr>
        <w:tc>
          <w:tcPr>
            <w:tcW w:w="10080" w:type="dxa"/>
            <w:tcBorders>
              <w:top w:val="nil"/>
              <w:left w:val="nil"/>
              <w:bottom w:val="single" w:sz="4" w:space="0" w:color="D8C9C1"/>
              <w:right w:val="nil"/>
            </w:tcBorders>
            <w:tcMar>
              <w:top w:w="0" w:type="dxa"/>
              <w:left w:w="0" w:type="dxa"/>
              <w:bottom w:w="0" w:type="dxa"/>
              <w:right w:w="0" w:type="dxa"/>
            </w:tcMar>
          </w:tcPr>
          <w:p w14:paraId="1FE9ED2A" w14:textId="77777777" w:rsidR="00217F5E" w:rsidRDefault="00213E83">
            <w:pPr>
              <w:spacing w:after="0" w:line="20" w:lineRule="exact"/>
            </w:pPr>
            <w:r>
              <w:rPr>
                <w:color w:val="FFFFFF"/>
                <w:sz w:val="2"/>
              </w:rPr>
              <w:t> </w:t>
            </w:r>
          </w:p>
        </w:tc>
      </w:tr>
      <w:tr w:rsidR="00217F5E" w14:paraId="5005BF06" w14:textId="77777777">
        <w:trPr>
          <w:trHeight w:hRule="exact" w:val="570"/>
        </w:trPr>
        <w:tc>
          <w:tcPr>
            <w:tcW w:w="10080" w:type="dxa"/>
            <w:tcBorders>
              <w:top w:val="nil"/>
              <w:left w:val="nil"/>
              <w:bottom w:val="single" w:sz="4" w:space="0" w:color="D8C9C1"/>
              <w:right w:val="nil"/>
            </w:tcBorders>
            <w:tcMar>
              <w:top w:w="0" w:type="dxa"/>
              <w:left w:w="0" w:type="dxa"/>
              <w:bottom w:w="0" w:type="dxa"/>
              <w:right w:w="0" w:type="dxa"/>
            </w:tcMar>
          </w:tcPr>
          <w:p w14:paraId="5CFC2434" w14:textId="77777777" w:rsidR="00217F5E" w:rsidRDefault="00213E83">
            <w:pPr>
              <w:spacing w:after="0" w:line="20" w:lineRule="exact"/>
            </w:pPr>
            <w:r>
              <w:rPr>
                <w:color w:val="FFFFFF"/>
                <w:sz w:val="2"/>
              </w:rPr>
              <w:t> </w:t>
            </w:r>
          </w:p>
        </w:tc>
      </w:tr>
      <w:tr w:rsidR="00217F5E" w14:paraId="0D546584" w14:textId="77777777">
        <w:trPr>
          <w:trHeight w:hRule="exact" w:val="570"/>
        </w:trPr>
        <w:tc>
          <w:tcPr>
            <w:tcW w:w="10080" w:type="dxa"/>
            <w:tcBorders>
              <w:top w:val="nil"/>
              <w:left w:val="nil"/>
              <w:bottom w:val="single" w:sz="4" w:space="0" w:color="D8C9C1"/>
              <w:right w:val="nil"/>
            </w:tcBorders>
            <w:tcMar>
              <w:top w:w="0" w:type="dxa"/>
              <w:left w:w="0" w:type="dxa"/>
              <w:bottom w:w="0" w:type="dxa"/>
              <w:right w:w="0" w:type="dxa"/>
            </w:tcMar>
          </w:tcPr>
          <w:p w14:paraId="077E24BF" w14:textId="77777777" w:rsidR="00217F5E" w:rsidRDefault="00213E83">
            <w:pPr>
              <w:spacing w:after="0" w:line="20" w:lineRule="exact"/>
            </w:pPr>
            <w:r>
              <w:rPr>
                <w:color w:val="FFFFFF"/>
                <w:sz w:val="2"/>
              </w:rPr>
              <w:t> </w:t>
            </w:r>
          </w:p>
        </w:tc>
      </w:tr>
      <w:tr w:rsidR="00217F5E" w14:paraId="6BFA075C" w14:textId="77777777">
        <w:trPr>
          <w:trHeight w:hRule="exact" w:val="570"/>
        </w:trPr>
        <w:tc>
          <w:tcPr>
            <w:tcW w:w="10080" w:type="dxa"/>
            <w:tcBorders>
              <w:top w:val="nil"/>
              <w:left w:val="nil"/>
              <w:bottom w:val="single" w:sz="4" w:space="0" w:color="D8C9C1"/>
              <w:right w:val="nil"/>
            </w:tcBorders>
            <w:tcMar>
              <w:top w:w="0" w:type="dxa"/>
              <w:left w:w="0" w:type="dxa"/>
              <w:bottom w:w="0" w:type="dxa"/>
              <w:right w:w="0" w:type="dxa"/>
            </w:tcMar>
          </w:tcPr>
          <w:p w14:paraId="79C74048" w14:textId="77777777" w:rsidR="00217F5E" w:rsidRDefault="00213E83">
            <w:pPr>
              <w:spacing w:after="0" w:line="20" w:lineRule="exact"/>
            </w:pPr>
            <w:r>
              <w:rPr>
                <w:color w:val="FFFFFF"/>
                <w:sz w:val="2"/>
              </w:rPr>
              <w:t> </w:t>
            </w:r>
          </w:p>
        </w:tc>
      </w:tr>
      <w:tr w:rsidR="00217F5E" w14:paraId="0272EF6E" w14:textId="77777777">
        <w:trPr>
          <w:trHeight w:hRule="exact" w:val="570"/>
        </w:trPr>
        <w:tc>
          <w:tcPr>
            <w:tcW w:w="10080" w:type="dxa"/>
            <w:tcBorders>
              <w:top w:val="nil"/>
              <w:left w:val="nil"/>
              <w:bottom w:val="single" w:sz="4" w:space="0" w:color="D8C9C1"/>
              <w:right w:val="nil"/>
            </w:tcBorders>
            <w:tcMar>
              <w:top w:w="0" w:type="dxa"/>
              <w:left w:w="0" w:type="dxa"/>
              <w:bottom w:w="0" w:type="dxa"/>
              <w:right w:w="0" w:type="dxa"/>
            </w:tcMar>
          </w:tcPr>
          <w:p w14:paraId="71F94257" w14:textId="77777777" w:rsidR="00217F5E" w:rsidRDefault="00213E83">
            <w:pPr>
              <w:spacing w:after="0" w:line="20" w:lineRule="exact"/>
            </w:pPr>
            <w:r>
              <w:rPr>
                <w:color w:val="FFFFFF"/>
                <w:sz w:val="2"/>
              </w:rPr>
              <w:t> </w:t>
            </w:r>
          </w:p>
        </w:tc>
      </w:tr>
      <w:tr w:rsidR="00217F5E" w14:paraId="6395BB03" w14:textId="77777777">
        <w:trPr>
          <w:trHeight w:hRule="exact" w:val="570"/>
        </w:trPr>
        <w:tc>
          <w:tcPr>
            <w:tcW w:w="10080" w:type="dxa"/>
            <w:tcBorders>
              <w:top w:val="nil"/>
              <w:left w:val="nil"/>
              <w:bottom w:val="single" w:sz="4" w:space="0" w:color="D8C9C1"/>
              <w:right w:val="nil"/>
            </w:tcBorders>
            <w:tcMar>
              <w:top w:w="0" w:type="dxa"/>
              <w:left w:w="0" w:type="dxa"/>
              <w:bottom w:w="0" w:type="dxa"/>
              <w:right w:w="0" w:type="dxa"/>
            </w:tcMar>
          </w:tcPr>
          <w:p w14:paraId="0E581120" w14:textId="77777777" w:rsidR="00217F5E" w:rsidRDefault="00213E83">
            <w:pPr>
              <w:spacing w:after="0" w:line="20" w:lineRule="exact"/>
            </w:pPr>
            <w:r>
              <w:rPr>
                <w:color w:val="FFFFFF"/>
                <w:sz w:val="2"/>
              </w:rPr>
              <w:t> </w:t>
            </w:r>
          </w:p>
        </w:tc>
      </w:tr>
      <w:tr w:rsidR="00217F5E" w14:paraId="2BFCA7D4" w14:textId="77777777">
        <w:trPr>
          <w:trHeight w:hRule="exact" w:val="570"/>
        </w:trPr>
        <w:tc>
          <w:tcPr>
            <w:tcW w:w="10080" w:type="dxa"/>
            <w:tcBorders>
              <w:top w:val="nil"/>
              <w:left w:val="nil"/>
              <w:bottom w:val="single" w:sz="4" w:space="0" w:color="D8C9C1"/>
              <w:right w:val="nil"/>
            </w:tcBorders>
            <w:tcMar>
              <w:top w:w="0" w:type="dxa"/>
              <w:left w:w="0" w:type="dxa"/>
              <w:bottom w:w="0" w:type="dxa"/>
              <w:right w:w="0" w:type="dxa"/>
            </w:tcMar>
          </w:tcPr>
          <w:p w14:paraId="02345063" w14:textId="77777777" w:rsidR="00217F5E" w:rsidRDefault="00213E83">
            <w:pPr>
              <w:spacing w:after="0" w:line="20" w:lineRule="exact"/>
            </w:pPr>
            <w:r>
              <w:rPr>
                <w:color w:val="FFFFFF"/>
                <w:sz w:val="2"/>
              </w:rPr>
              <w:t> </w:t>
            </w:r>
          </w:p>
        </w:tc>
      </w:tr>
      <w:tr w:rsidR="00217F5E" w14:paraId="418FF59B" w14:textId="77777777">
        <w:trPr>
          <w:trHeight w:hRule="exact" w:val="570"/>
        </w:trPr>
        <w:tc>
          <w:tcPr>
            <w:tcW w:w="10080" w:type="dxa"/>
            <w:tcBorders>
              <w:top w:val="nil"/>
              <w:left w:val="nil"/>
              <w:bottom w:val="single" w:sz="4" w:space="0" w:color="D8C9C1"/>
              <w:right w:val="nil"/>
            </w:tcBorders>
            <w:tcMar>
              <w:top w:w="0" w:type="dxa"/>
              <w:left w:w="0" w:type="dxa"/>
              <w:bottom w:w="0" w:type="dxa"/>
              <w:right w:w="0" w:type="dxa"/>
            </w:tcMar>
          </w:tcPr>
          <w:p w14:paraId="16BF3CE6" w14:textId="77777777" w:rsidR="00217F5E" w:rsidRDefault="00213E83">
            <w:pPr>
              <w:spacing w:after="0" w:line="20" w:lineRule="exact"/>
            </w:pPr>
            <w:r>
              <w:rPr>
                <w:color w:val="FFFFFF"/>
                <w:sz w:val="2"/>
              </w:rPr>
              <w:t> </w:t>
            </w:r>
          </w:p>
        </w:tc>
      </w:tr>
      <w:tr w:rsidR="00217F5E" w14:paraId="60FC8E3B" w14:textId="77777777">
        <w:trPr>
          <w:trHeight w:hRule="exact" w:val="570"/>
        </w:trPr>
        <w:tc>
          <w:tcPr>
            <w:tcW w:w="10080" w:type="dxa"/>
            <w:tcBorders>
              <w:top w:val="nil"/>
              <w:left w:val="nil"/>
              <w:bottom w:val="single" w:sz="4" w:space="0" w:color="D8C9C1"/>
              <w:right w:val="nil"/>
            </w:tcBorders>
            <w:tcMar>
              <w:top w:w="0" w:type="dxa"/>
              <w:left w:w="0" w:type="dxa"/>
              <w:bottom w:w="0" w:type="dxa"/>
              <w:right w:w="0" w:type="dxa"/>
            </w:tcMar>
          </w:tcPr>
          <w:p w14:paraId="4ACE2209" w14:textId="77777777" w:rsidR="00217F5E" w:rsidRDefault="00213E83">
            <w:pPr>
              <w:spacing w:after="0" w:line="20" w:lineRule="exact"/>
            </w:pPr>
            <w:r>
              <w:rPr>
                <w:color w:val="FFFFFF"/>
                <w:sz w:val="2"/>
              </w:rPr>
              <w:t> </w:t>
            </w:r>
          </w:p>
        </w:tc>
      </w:tr>
      <w:tr w:rsidR="00217F5E" w14:paraId="3A513838" w14:textId="77777777">
        <w:trPr>
          <w:trHeight w:hRule="exact" w:val="570"/>
        </w:trPr>
        <w:tc>
          <w:tcPr>
            <w:tcW w:w="10080" w:type="dxa"/>
            <w:tcBorders>
              <w:top w:val="nil"/>
              <w:left w:val="nil"/>
              <w:bottom w:val="single" w:sz="4" w:space="0" w:color="D8C9C1"/>
              <w:right w:val="nil"/>
            </w:tcBorders>
            <w:tcMar>
              <w:top w:w="0" w:type="dxa"/>
              <w:left w:w="0" w:type="dxa"/>
              <w:bottom w:w="0" w:type="dxa"/>
              <w:right w:w="0" w:type="dxa"/>
            </w:tcMar>
          </w:tcPr>
          <w:p w14:paraId="53E95AE7" w14:textId="77777777" w:rsidR="00217F5E" w:rsidRDefault="00213E83">
            <w:pPr>
              <w:spacing w:after="0" w:line="20" w:lineRule="exact"/>
            </w:pPr>
            <w:r>
              <w:rPr>
                <w:color w:val="FFFFFF"/>
                <w:sz w:val="2"/>
              </w:rPr>
              <w:t> </w:t>
            </w:r>
          </w:p>
        </w:tc>
      </w:tr>
      <w:tr w:rsidR="00217F5E" w14:paraId="20366518" w14:textId="77777777">
        <w:trPr>
          <w:trHeight w:hRule="exact" w:val="570"/>
        </w:trPr>
        <w:tc>
          <w:tcPr>
            <w:tcW w:w="10080" w:type="dxa"/>
            <w:tcBorders>
              <w:top w:val="nil"/>
              <w:left w:val="nil"/>
              <w:bottom w:val="single" w:sz="4" w:space="0" w:color="D8C9C1"/>
              <w:right w:val="nil"/>
            </w:tcBorders>
            <w:tcMar>
              <w:top w:w="0" w:type="dxa"/>
              <w:left w:w="0" w:type="dxa"/>
              <w:bottom w:w="0" w:type="dxa"/>
              <w:right w:w="0" w:type="dxa"/>
            </w:tcMar>
          </w:tcPr>
          <w:p w14:paraId="58E69030" w14:textId="77777777" w:rsidR="00217F5E" w:rsidRDefault="00213E83">
            <w:pPr>
              <w:spacing w:after="0" w:line="20" w:lineRule="exact"/>
            </w:pPr>
            <w:r>
              <w:rPr>
                <w:color w:val="FFFFFF"/>
                <w:sz w:val="2"/>
              </w:rPr>
              <w:t> </w:t>
            </w:r>
          </w:p>
        </w:tc>
      </w:tr>
      <w:tr w:rsidR="00217F5E" w14:paraId="2CE6D24C" w14:textId="77777777">
        <w:trPr>
          <w:trHeight w:hRule="exact" w:val="570"/>
        </w:trPr>
        <w:tc>
          <w:tcPr>
            <w:tcW w:w="10080" w:type="dxa"/>
            <w:tcBorders>
              <w:top w:val="nil"/>
              <w:left w:val="nil"/>
              <w:bottom w:val="single" w:sz="4" w:space="0" w:color="D8C9C1"/>
              <w:right w:val="nil"/>
            </w:tcBorders>
            <w:tcMar>
              <w:top w:w="0" w:type="dxa"/>
              <w:left w:w="0" w:type="dxa"/>
              <w:bottom w:w="0" w:type="dxa"/>
              <w:right w:w="0" w:type="dxa"/>
            </w:tcMar>
          </w:tcPr>
          <w:p w14:paraId="61D11385" w14:textId="77777777" w:rsidR="00217F5E" w:rsidRDefault="00213E83">
            <w:pPr>
              <w:spacing w:after="0" w:line="20" w:lineRule="exact"/>
            </w:pPr>
            <w:r>
              <w:rPr>
                <w:color w:val="FFFFFF"/>
                <w:sz w:val="2"/>
              </w:rPr>
              <w:t> </w:t>
            </w:r>
          </w:p>
        </w:tc>
      </w:tr>
    </w:tbl>
    <w:p w14:paraId="2E1E868D" w14:textId="77777777" w:rsidR="00217F5E" w:rsidRDefault="00213E83">
      <w:r>
        <w:br w:type="page"/>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232"/>
        <w:gridCol w:w="2160"/>
        <w:gridCol w:w="2232"/>
        <w:gridCol w:w="2160"/>
      </w:tblGrid>
      <w:tr w:rsidR="003F0957" w14:paraId="7C9F8C81" w14:textId="77777777">
        <w:trPr>
          <w:trHeight w:hRule="exact" w:val="173"/>
          <w:jc w:val="center"/>
        </w:trPr>
        <w:tc>
          <w:tcPr>
            <w:tcW w:w="2232" w:type="dxa"/>
            <w:shd w:val="clear" w:color="auto" w:fill="7E3343"/>
          </w:tcPr>
          <w:p w14:paraId="641C9A00" w14:textId="77777777" w:rsidR="003F0957" w:rsidRDefault="003F0957"/>
          <w:p w14:paraId="384CD67B" w14:textId="77777777" w:rsidR="008B5567" w:rsidRDefault="008B5567"/>
          <w:p w14:paraId="76CCF669" w14:textId="77777777" w:rsidR="008B5567" w:rsidRDefault="008B5567"/>
          <w:p w14:paraId="30161028" w14:textId="77777777" w:rsidR="008B5567" w:rsidRDefault="008B5567"/>
          <w:p w14:paraId="5976ABAA" w14:textId="77777777" w:rsidR="008B5567" w:rsidRDefault="008B5567"/>
          <w:p w14:paraId="38A4907E" w14:textId="77777777" w:rsidR="008B5567" w:rsidRDefault="008B5567"/>
          <w:p w14:paraId="1C4815A8" w14:textId="77777777" w:rsidR="008B5567" w:rsidRDefault="008B5567"/>
          <w:p w14:paraId="14738661" w14:textId="77777777" w:rsidR="008B5567" w:rsidRDefault="008B5567"/>
          <w:p w14:paraId="2EF7017E" w14:textId="77777777" w:rsidR="008B5567" w:rsidRDefault="008B5567"/>
          <w:p w14:paraId="550118D6" w14:textId="77777777" w:rsidR="008B5567" w:rsidRDefault="008B5567"/>
          <w:p w14:paraId="2622B052" w14:textId="77777777" w:rsidR="008B5567" w:rsidRDefault="008B5567"/>
          <w:p w14:paraId="1BD306D1" w14:textId="77777777" w:rsidR="008B5567" w:rsidRDefault="008B5567"/>
          <w:p w14:paraId="09B94F47" w14:textId="77777777" w:rsidR="008B5567" w:rsidRDefault="008B5567"/>
          <w:p w14:paraId="252317FC" w14:textId="77777777" w:rsidR="008B5567" w:rsidRDefault="008B5567"/>
          <w:p w14:paraId="4E5BD312" w14:textId="77777777" w:rsidR="008B5567" w:rsidRDefault="008B5567"/>
          <w:p w14:paraId="33BD400B" w14:textId="77777777" w:rsidR="008B5567" w:rsidRDefault="008B5567"/>
          <w:p w14:paraId="7E4EAC0D" w14:textId="77777777" w:rsidR="008B5567" w:rsidRDefault="008B5567"/>
          <w:p w14:paraId="2B2B688F" w14:textId="77777777" w:rsidR="008B5567" w:rsidRDefault="008B5567"/>
          <w:p w14:paraId="3B56F6EA" w14:textId="77777777" w:rsidR="008B5567" w:rsidRDefault="008B5567"/>
          <w:p w14:paraId="124B34FE" w14:textId="77777777" w:rsidR="008B5567" w:rsidRDefault="008B5567"/>
          <w:p w14:paraId="6A3CC0C6" w14:textId="77777777" w:rsidR="008B5567" w:rsidRDefault="008B5567"/>
          <w:p w14:paraId="37BC573A" w14:textId="77777777" w:rsidR="008B5567" w:rsidRDefault="008B5567"/>
        </w:tc>
        <w:tc>
          <w:tcPr>
            <w:tcW w:w="2160" w:type="dxa"/>
            <w:shd w:val="clear" w:color="auto" w:fill="B85C38"/>
          </w:tcPr>
          <w:p w14:paraId="4F6B2A1B" w14:textId="77777777" w:rsidR="003F0957" w:rsidRDefault="003F0957"/>
        </w:tc>
        <w:tc>
          <w:tcPr>
            <w:tcW w:w="2232" w:type="dxa"/>
            <w:shd w:val="clear" w:color="auto" w:fill="C58A2B"/>
          </w:tcPr>
          <w:p w14:paraId="5D3B2613" w14:textId="77777777" w:rsidR="003F0957" w:rsidRDefault="003F0957"/>
        </w:tc>
        <w:tc>
          <w:tcPr>
            <w:tcW w:w="2160" w:type="dxa"/>
            <w:shd w:val="clear" w:color="auto" w:fill="6A4558"/>
          </w:tcPr>
          <w:p w14:paraId="41307FB1" w14:textId="77777777" w:rsidR="003F0957" w:rsidRDefault="003F0957"/>
        </w:tc>
      </w:tr>
    </w:tbl>
    <w:p w14:paraId="0FDE1D96" w14:textId="77777777" w:rsidR="00E77872" w:rsidRDefault="00E77872">
      <w:pPr>
        <w:spacing w:after="60" w:line="240" w:lineRule="auto"/>
        <w:rPr>
          <w:rFonts w:ascii="EB Garamond" w:hAnsi="EB Garamond"/>
          <w:b/>
          <w:color w:val="2B201C"/>
          <w:sz w:val="33"/>
        </w:rPr>
      </w:pPr>
    </w:p>
    <w:p w14:paraId="5721CC8C" w14:textId="77777777" w:rsidR="003F0957" w:rsidRDefault="001269E1">
      <w:pPr>
        <w:spacing w:after="60" w:line="240" w:lineRule="auto"/>
      </w:pPr>
      <w:r>
        <w:rPr>
          <w:rFonts w:ascii="EB Garamond" w:hAnsi="EB Garamond"/>
          <w:b/>
          <w:color w:val="B85C38"/>
          <w:sz w:val="32"/>
        </w:rPr>
        <w:t>Elena Georgiou</w:t>
      </w:r>
    </w:p>
    <w:p w14:paraId="46B0F485" w14:textId="3306FAD2" w:rsidR="003F0957" w:rsidRDefault="001269E1">
      <w:pPr>
        <w:spacing w:after="320" w:line="264" w:lineRule="auto"/>
      </w:pPr>
      <w:proofErr w:type="gramStart"/>
      <w:r>
        <w:rPr>
          <w:b/>
          <w:color w:val="2B201C"/>
          <w:sz w:val="24"/>
        </w:rPr>
        <w:t>“Where youth?</w:t>
      </w:r>
      <w:proofErr w:type="gramEnd"/>
      <w:r>
        <w:rPr>
          <w:b/>
          <w:color w:val="2B201C"/>
          <w:sz w:val="24"/>
        </w:rPr>
        <w:t xml:space="preserve"> No find her”</w:t>
      </w:r>
      <w:r w:rsidR="00DC0BF0">
        <w:rPr>
          <w:b/>
          <w:color w:val="2B201C"/>
          <w:sz w:val="24"/>
        </w:rPr>
        <w:t>:</w:t>
      </w:r>
      <w:r>
        <w:rPr>
          <w:b/>
          <w:color w:val="2B201C"/>
          <w:sz w:val="24"/>
        </w:rPr>
        <w:t xml:space="preserve"> Liberation, Embodiment and the </w:t>
      </w:r>
      <w:proofErr w:type="spellStart"/>
      <w:r>
        <w:rPr>
          <w:b/>
          <w:color w:val="2B201C"/>
          <w:sz w:val="24"/>
        </w:rPr>
        <w:t>Performative</w:t>
      </w:r>
      <w:proofErr w:type="spellEnd"/>
      <w:r>
        <w:rPr>
          <w:b/>
          <w:color w:val="2B201C"/>
          <w:sz w:val="24"/>
        </w:rPr>
        <w:t xml:space="preserve"> in Elsa von Freytag-</w:t>
      </w:r>
      <w:proofErr w:type="spellStart"/>
      <w:r>
        <w:rPr>
          <w:b/>
          <w:color w:val="2B201C"/>
          <w:sz w:val="24"/>
        </w:rPr>
        <w:t>Loringhoven</w:t>
      </w:r>
      <w:proofErr w:type="spellEnd"/>
    </w:p>
    <w:p w14:paraId="0DA16E1B" w14:textId="77777777" w:rsidR="003F0957" w:rsidRDefault="001269E1">
      <w:pPr>
        <w:spacing w:after="0" w:line="293" w:lineRule="auto"/>
        <w:jc w:val="both"/>
      </w:pPr>
      <w:r>
        <w:rPr>
          <w:color w:val="2B201C"/>
          <w:sz w:val="22"/>
        </w:rPr>
        <w:t>Recognized and celebrated for her contribution to the avant-garde decades after her death in 1927, Elsa von Freytag-</w:t>
      </w:r>
      <w:proofErr w:type="spellStart"/>
      <w:r>
        <w:rPr>
          <w:color w:val="2B201C"/>
          <w:sz w:val="22"/>
        </w:rPr>
        <w:t>Loringhoven</w:t>
      </w:r>
      <w:proofErr w:type="spellEnd"/>
      <w:r>
        <w:rPr>
          <w:color w:val="2B201C"/>
          <w:sz w:val="22"/>
        </w:rPr>
        <w:t xml:space="preserve"> subverted gender norms and challenged the notions of propriety by obliterating the boundaries between life and art. Published posthumously, </w:t>
      </w:r>
      <w:r>
        <w:rPr>
          <w:i/>
          <w:color w:val="2B201C"/>
          <w:sz w:val="22"/>
        </w:rPr>
        <w:t>Body Sweats: The Uncensored Writings of Elsa von Freytag-</w:t>
      </w:r>
      <w:proofErr w:type="spellStart"/>
      <w:r>
        <w:rPr>
          <w:i/>
          <w:color w:val="2B201C"/>
          <w:sz w:val="22"/>
        </w:rPr>
        <w:t>Loringhoven</w:t>
      </w:r>
      <w:proofErr w:type="spellEnd"/>
      <w:r>
        <w:rPr>
          <w:color w:val="2B201C"/>
          <w:sz w:val="22"/>
        </w:rPr>
        <w:t xml:space="preserve"> (2011</w:t>
      </w:r>
      <w:proofErr w:type="gramStart"/>
      <w:r>
        <w:rPr>
          <w:color w:val="2B201C"/>
          <w:sz w:val="22"/>
        </w:rPr>
        <w:t>),</w:t>
      </w:r>
      <w:proofErr w:type="gramEnd"/>
      <w:r>
        <w:rPr>
          <w:color w:val="2B201C"/>
          <w:sz w:val="22"/>
        </w:rPr>
        <w:t xml:space="preserve"> brings together poetic sequences that depict, as Irene </w:t>
      </w:r>
      <w:proofErr w:type="spellStart"/>
      <w:r>
        <w:rPr>
          <w:color w:val="2B201C"/>
          <w:sz w:val="22"/>
        </w:rPr>
        <w:t>Gammel</w:t>
      </w:r>
      <w:proofErr w:type="spellEnd"/>
      <w:r>
        <w:rPr>
          <w:color w:val="2B201C"/>
          <w:sz w:val="22"/>
        </w:rPr>
        <w:t>, her biographer, notes, how she “lived and died by the art that was in and of her, a Dada experiment of her own making.” Her ready-made poetry persistently rejected the idea of the body as an endlessly operating system and challenged Victorian notions of beauty in the process. This presentation will examine poems that embrace the process of aging, while simultaneously disregarding the socially</w:t>
      </w:r>
      <w:r w:rsidR="00F859E4">
        <w:rPr>
          <w:color w:val="2B201C"/>
          <w:sz w:val="22"/>
        </w:rPr>
        <w:t xml:space="preserve"> </w:t>
      </w:r>
      <w:r>
        <w:rPr>
          <w:color w:val="2B201C"/>
          <w:sz w:val="22"/>
        </w:rPr>
        <w:t>constructed polarization between youth and old age within patriarchy. In this context, I argue that Elsa von Freytag-</w:t>
      </w:r>
      <w:proofErr w:type="spellStart"/>
      <w:r>
        <w:rPr>
          <w:color w:val="2B201C"/>
          <w:sz w:val="22"/>
        </w:rPr>
        <w:t>Loringhoven</w:t>
      </w:r>
      <w:proofErr w:type="spellEnd"/>
      <w:r>
        <w:rPr>
          <w:color w:val="2B201C"/>
          <w:sz w:val="22"/>
        </w:rPr>
        <w:t xml:space="preserve"> utilizes the aging body as a raw form of performance art that dismantles binary oppositions in order to destabilize the very nature of language itself; her work lacks a linear trajectory and deliberately resists a rigid interpretation through its fractured punctuation and erratic spacing that create phonetic explosions on the page. Thus, von Freytag-</w:t>
      </w:r>
      <w:proofErr w:type="spellStart"/>
      <w:r>
        <w:rPr>
          <w:color w:val="2B201C"/>
          <w:sz w:val="22"/>
        </w:rPr>
        <w:t>Loringhoven</w:t>
      </w:r>
      <w:proofErr w:type="spellEnd"/>
      <w:r>
        <w:rPr>
          <w:color w:val="2B201C"/>
          <w:sz w:val="22"/>
        </w:rPr>
        <w:t xml:space="preserve"> provides us with depictions of aging that reshape cultural perceptions of identity and reclaim it as a site of ongoing transformation. The anti-aestheticism prevalent in her work subverts the expectations of femininity ascribed to the female body, anticipating a radical reconceptualization of corporeality that extends beyond conventional representations of old age within a social, as well as a political framework.</w:t>
      </w:r>
    </w:p>
    <w:p w14:paraId="0509C8D8" w14:textId="77777777" w:rsidR="003F0957" w:rsidRDefault="001269E1">
      <w:r>
        <w:br w:type="page"/>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232"/>
        <w:gridCol w:w="2160"/>
        <w:gridCol w:w="2232"/>
        <w:gridCol w:w="2160"/>
      </w:tblGrid>
      <w:tr w:rsidR="003F0957" w14:paraId="395A9C2B" w14:textId="77777777">
        <w:trPr>
          <w:trHeight w:hRule="exact" w:val="173"/>
          <w:jc w:val="center"/>
        </w:trPr>
        <w:tc>
          <w:tcPr>
            <w:tcW w:w="2232" w:type="dxa"/>
            <w:shd w:val="clear" w:color="auto" w:fill="7E3343"/>
          </w:tcPr>
          <w:p w14:paraId="636AC16F" w14:textId="77777777" w:rsidR="003F0957" w:rsidRDefault="003F0957"/>
        </w:tc>
        <w:tc>
          <w:tcPr>
            <w:tcW w:w="2160" w:type="dxa"/>
            <w:shd w:val="clear" w:color="auto" w:fill="B85C38"/>
          </w:tcPr>
          <w:p w14:paraId="118BBDA8" w14:textId="77777777" w:rsidR="003F0957" w:rsidRDefault="003F0957"/>
        </w:tc>
        <w:tc>
          <w:tcPr>
            <w:tcW w:w="2232" w:type="dxa"/>
            <w:shd w:val="clear" w:color="auto" w:fill="C58A2B"/>
          </w:tcPr>
          <w:p w14:paraId="38F792F3" w14:textId="77777777" w:rsidR="003F0957" w:rsidRDefault="003F0957"/>
        </w:tc>
        <w:tc>
          <w:tcPr>
            <w:tcW w:w="2160" w:type="dxa"/>
            <w:shd w:val="clear" w:color="auto" w:fill="6A4558"/>
          </w:tcPr>
          <w:p w14:paraId="0CCD419B" w14:textId="77777777" w:rsidR="003F0957" w:rsidRDefault="003F0957"/>
        </w:tc>
      </w:tr>
    </w:tbl>
    <w:p w14:paraId="6425F4B0" w14:textId="77777777" w:rsidR="00E77872" w:rsidRDefault="00E77872">
      <w:pPr>
        <w:spacing w:after="60" w:line="240" w:lineRule="auto"/>
        <w:rPr>
          <w:rFonts w:ascii="EB Garamond" w:hAnsi="EB Garamond"/>
          <w:b/>
          <w:color w:val="2B201C"/>
          <w:sz w:val="33"/>
        </w:rPr>
      </w:pPr>
    </w:p>
    <w:p w14:paraId="1F28E054" w14:textId="77777777" w:rsidR="003F0957" w:rsidRDefault="001269E1">
      <w:pPr>
        <w:spacing w:after="60" w:line="240" w:lineRule="auto"/>
      </w:pPr>
      <w:r>
        <w:rPr>
          <w:rFonts w:ascii="EB Garamond" w:hAnsi="EB Garamond"/>
          <w:b/>
          <w:color w:val="B85C38"/>
          <w:sz w:val="32"/>
        </w:rPr>
        <w:t xml:space="preserve">Sophia </w:t>
      </w:r>
      <w:proofErr w:type="spellStart"/>
      <w:r>
        <w:rPr>
          <w:rFonts w:ascii="EB Garamond" w:hAnsi="EB Garamond"/>
          <w:b/>
          <w:color w:val="B85C38"/>
          <w:sz w:val="32"/>
        </w:rPr>
        <w:t>Giannousiou</w:t>
      </w:r>
      <w:proofErr w:type="spellEnd"/>
    </w:p>
    <w:p w14:paraId="7E32A890" w14:textId="77777777" w:rsidR="003F0957" w:rsidRDefault="001269E1">
      <w:pPr>
        <w:spacing w:after="320" w:line="264" w:lineRule="auto"/>
      </w:pPr>
      <w:r>
        <w:rPr>
          <w:b/>
          <w:color w:val="2B201C"/>
          <w:sz w:val="24"/>
        </w:rPr>
        <w:t>Notes on the Representation of Resistance, or Thinking through the Palestinian and Post-Soviet Contexts</w:t>
      </w:r>
    </w:p>
    <w:p w14:paraId="7879A966" w14:textId="77777777" w:rsidR="003F0957" w:rsidRDefault="001269E1">
      <w:pPr>
        <w:spacing w:after="0" w:line="293" w:lineRule="auto"/>
        <w:jc w:val="both"/>
      </w:pPr>
      <w:r>
        <w:rPr>
          <w:color w:val="2B201C"/>
          <w:sz w:val="22"/>
        </w:rPr>
        <w:t>Resistance is a concept frequently approached as self-evident, emphatically preceding its representation, and removed from the hegemonic structures and attitudes. This project emerges from the assumption that resistance becomes (</w:t>
      </w:r>
      <w:proofErr w:type="spellStart"/>
      <w:r>
        <w:rPr>
          <w:color w:val="2B201C"/>
          <w:sz w:val="22"/>
        </w:rPr>
        <w:t>il</w:t>
      </w:r>
      <w:proofErr w:type="spellEnd"/>
      <w:proofErr w:type="gramStart"/>
      <w:r>
        <w:rPr>
          <w:color w:val="2B201C"/>
          <w:sz w:val="22"/>
        </w:rPr>
        <w:t>)legible</w:t>
      </w:r>
      <w:proofErr w:type="gramEnd"/>
      <w:r>
        <w:rPr>
          <w:color w:val="2B201C"/>
          <w:sz w:val="22"/>
        </w:rPr>
        <w:t xml:space="preserve"> through acts of framing, effectively emerging in a dynamic relation with power and its ideological foundations, and is irreducibly context-specific. The challenge of accounting for this </w:t>
      </w:r>
      <w:proofErr w:type="spellStart"/>
      <w:r>
        <w:rPr>
          <w:color w:val="2B201C"/>
          <w:sz w:val="22"/>
        </w:rPr>
        <w:t>contextuality</w:t>
      </w:r>
      <w:proofErr w:type="spellEnd"/>
      <w:r>
        <w:rPr>
          <w:color w:val="2B201C"/>
          <w:sz w:val="22"/>
        </w:rPr>
        <w:t xml:space="preserve"> becomes particularly acute when thinking it across contexts as historically and politically disparate as the Palestinian and the post-Soviet; the former refers to a land, a people, a political claim, and a historical and ongoing experience of colonization, occupation, and dispossession, whilst the latter is a </w:t>
      </w:r>
      <w:proofErr w:type="spellStart"/>
      <w:r>
        <w:rPr>
          <w:color w:val="2B201C"/>
          <w:sz w:val="22"/>
        </w:rPr>
        <w:t>spatio</w:t>
      </w:r>
      <w:proofErr w:type="spellEnd"/>
      <w:r>
        <w:rPr>
          <w:color w:val="2B201C"/>
          <w:sz w:val="22"/>
        </w:rPr>
        <w:t xml:space="preserve">-temporal designation, encompassing various states, ethnicities, languages, and historical trajectories after 1991. Building on this asymmetry, I argue that it is their very </w:t>
      </w:r>
      <w:proofErr w:type="spellStart"/>
      <w:r>
        <w:rPr>
          <w:color w:val="2B201C"/>
          <w:sz w:val="22"/>
        </w:rPr>
        <w:t>inequivalence</w:t>
      </w:r>
      <w:proofErr w:type="spellEnd"/>
      <w:r>
        <w:rPr>
          <w:color w:val="2B201C"/>
          <w:sz w:val="22"/>
        </w:rPr>
        <w:t xml:space="preserve"> yet structural affinity that tests my initial assumptions and the ways through which resistance is traditionally identified and represented. Instead of discussing the literary and filmic texts that inform my contrapuntal approach to the question of resistance and the politics of representation, this presentation focuses on the methodological hurdles that have emerged at this first stage of my research. I address what is and can be recognized as resistance, how the structure of a specific resistance contributes to its cultural representation, whose agency becomes visible, </w:t>
      </w:r>
      <w:proofErr w:type="gramStart"/>
      <w:r>
        <w:rPr>
          <w:color w:val="2B201C"/>
          <w:sz w:val="22"/>
        </w:rPr>
        <w:t>whose</w:t>
      </w:r>
      <w:proofErr w:type="gramEnd"/>
      <w:r>
        <w:rPr>
          <w:color w:val="2B201C"/>
          <w:sz w:val="22"/>
        </w:rPr>
        <w:t xml:space="preserve"> narration legitimate, and which praxis remains outside the frame. In doing so, this presentation considers the issues of accessibility, translation, and circulation shaping both the said corpus of texts and the conditions of its study, in tandem with my own </w:t>
      </w:r>
      <w:proofErr w:type="spellStart"/>
      <w:r>
        <w:rPr>
          <w:color w:val="2B201C"/>
          <w:sz w:val="22"/>
        </w:rPr>
        <w:t>positionality</w:t>
      </w:r>
      <w:proofErr w:type="spellEnd"/>
      <w:r>
        <w:rPr>
          <w:color w:val="2B201C"/>
          <w:sz w:val="22"/>
        </w:rPr>
        <w:t xml:space="preserve"> as a researcher. These challenges, I argue, are constitutive of the project, since they testify to the conditions through which resistance is produced, propagated, and decontextualized by narratives both fictional and non-fictional.</w:t>
      </w:r>
    </w:p>
    <w:p w14:paraId="6E64AF74" w14:textId="77777777" w:rsidR="003F0957" w:rsidRDefault="001269E1">
      <w:r>
        <w:br w:type="page"/>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232"/>
        <w:gridCol w:w="2160"/>
        <w:gridCol w:w="2232"/>
        <w:gridCol w:w="2160"/>
      </w:tblGrid>
      <w:tr w:rsidR="003F0957" w14:paraId="43B7162F" w14:textId="77777777">
        <w:trPr>
          <w:trHeight w:hRule="exact" w:val="173"/>
          <w:jc w:val="center"/>
        </w:trPr>
        <w:tc>
          <w:tcPr>
            <w:tcW w:w="2232" w:type="dxa"/>
            <w:shd w:val="clear" w:color="auto" w:fill="7E3343"/>
          </w:tcPr>
          <w:p w14:paraId="27ABE9A8" w14:textId="77777777" w:rsidR="003F0957" w:rsidRDefault="003F0957"/>
        </w:tc>
        <w:tc>
          <w:tcPr>
            <w:tcW w:w="2160" w:type="dxa"/>
            <w:shd w:val="clear" w:color="auto" w:fill="B85C38"/>
          </w:tcPr>
          <w:p w14:paraId="092F96E5" w14:textId="77777777" w:rsidR="003F0957" w:rsidRDefault="003F0957"/>
        </w:tc>
        <w:tc>
          <w:tcPr>
            <w:tcW w:w="2232" w:type="dxa"/>
            <w:shd w:val="clear" w:color="auto" w:fill="C58A2B"/>
          </w:tcPr>
          <w:p w14:paraId="01BC7FE6" w14:textId="77777777" w:rsidR="003F0957" w:rsidRDefault="003F0957"/>
        </w:tc>
        <w:tc>
          <w:tcPr>
            <w:tcW w:w="2160" w:type="dxa"/>
            <w:shd w:val="clear" w:color="auto" w:fill="6A4558"/>
          </w:tcPr>
          <w:p w14:paraId="37835094" w14:textId="77777777" w:rsidR="003F0957" w:rsidRDefault="003F0957"/>
        </w:tc>
      </w:tr>
    </w:tbl>
    <w:p w14:paraId="61DAE070" w14:textId="77777777" w:rsidR="00E77872" w:rsidRDefault="00E77872">
      <w:pPr>
        <w:spacing w:after="60" w:line="240" w:lineRule="auto"/>
        <w:rPr>
          <w:rFonts w:ascii="EB Garamond" w:hAnsi="EB Garamond"/>
          <w:b/>
          <w:color w:val="B85C38"/>
          <w:sz w:val="32"/>
        </w:rPr>
      </w:pPr>
    </w:p>
    <w:p w14:paraId="24E120F3" w14:textId="77777777" w:rsidR="003F0957" w:rsidRDefault="001269E1">
      <w:pPr>
        <w:spacing w:after="60" w:line="240" w:lineRule="auto"/>
      </w:pPr>
      <w:proofErr w:type="spellStart"/>
      <w:r>
        <w:rPr>
          <w:rFonts w:ascii="EB Garamond" w:hAnsi="EB Garamond"/>
          <w:b/>
          <w:color w:val="B85C38"/>
          <w:sz w:val="32"/>
        </w:rPr>
        <w:t>Stavroula</w:t>
      </w:r>
      <w:proofErr w:type="spellEnd"/>
      <w:r>
        <w:rPr>
          <w:rFonts w:ascii="EB Garamond" w:hAnsi="EB Garamond"/>
          <w:b/>
          <w:color w:val="B85C38"/>
          <w:sz w:val="32"/>
        </w:rPr>
        <w:t xml:space="preserve"> Anastasia (</w:t>
      </w:r>
      <w:proofErr w:type="spellStart"/>
      <w:r>
        <w:rPr>
          <w:rFonts w:ascii="EB Garamond" w:hAnsi="EB Garamond"/>
          <w:b/>
          <w:color w:val="B85C38"/>
          <w:sz w:val="32"/>
        </w:rPr>
        <w:t>Lina</w:t>
      </w:r>
      <w:proofErr w:type="spellEnd"/>
      <w:r>
        <w:rPr>
          <w:rFonts w:ascii="EB Garamond" w:hAnsi="EB Garamond"/>
          <w:b/>
          <w:color w:val="B85C38"/>
          <w:sz w:val="32"/>
        </w:rPr>
        <w:t xml:space="preserve">) </w:t>
      </w:r>
      <w:proofErr w:type="spellStart"/>
      <w:r>
        <w:rPr>
          <w:rFonts w:ascii="EB Garamond" w:hAnsi="EB Garamond"/>
          <w:b/>
          <w:color w:val="B85C38"/>
          <w:sz w:val="32"/>
        </w:rPr>
        <w:t>Katsorchi</w:t>
      </w:r>
      <w:proofErr w:type="spellEnd"/>
    </w:p>
    <w:p w14:paraId="6BB9D235" w14:textId="77777777" w:rsidR="003F0957" w:rsidRDefault="001269E1">
      <w:pPr>
        <w:spacing w:after="320" w:line="264" w:lineRule="auto"/>
      </w:pPr>
      <w:proofErr w:type="spellStart"/>
      <w:r>
        <w:rPr>
          <w:b/>
          <w:color w:val="2B201C"/>
          <w:sz w:val="24"/>
        </w:rPr>
        <w:t>Posthumanism</w:t>
      </w:r>
      <w:proofErr w:type="spellEnd"/>
      <w:r>
        <w:rPr>
          <w:b/>
          <w:color w:val="2B201C"/>
          <w:sz w:val="24"/>
        </w:rPr>
        <w:t xml:space="preserve"> and My Discontents: Questions, More Questions, the Present, and the Future</w:t>
      </w:r>
    </w:p>
    <w:p w14:paraId="52C2237A" w14:textId="77777777" w:rsidR="003F0957" w:rsidRDefault="001269E1">
      <w:pPr>
        <w:spacing w:after="0" w:line="293" w:lineRule="auto"/>
        <w:jc w:val="both"/>
      </w:pPr>
      <w:r>
        <w:rPr>
          <w:color w:val="2B201C"/>
          <w:sz w:val="22"/>
        </w:rPr>
        <w:t xml:space="preserve">This presentation pertains mainly to the concluding part of my dissertation, while simultaneously taking a retrospective look at my research journey, tracing the evolution of my topic and methodology. My dissertation adopts a </w:t>
      </w:r>
      <w:proofErr w:type="spellStart"/>
      <w:r>
        <w:rPr>
          <w:color w:val="2B201C"/>
          <w:sz w:val="22"/>
        </w:rPr>
        <w:t>posthuman</w:t>
      </w:r>
      <w:proofErr w:type="spellEnd"/>
      <w:r>
        <w:rPr>
          <w:color w:val="2B201C"/>
          <w:sz w:val="22"/>
        </w:rPr>
        <w:t xml:space="preserve"> feminist perspective in </w:t>
      </w:r>
      <w:proofErr w:type="spellStart"/>
      <w:r>
        <w:rPr>
          <w:color w:val="2B201C"/>
          <w:sz w:val="22"/>
        </w:rPr>
        <w:t>analysing</w:t>
      </w:r>
      <w:proofErr w:type="spellEnd"/>
      <w:r>
        <w:rPr>
          <w:color w:val="2B201C"/>
          <w:sz w:val="22"/>
        </w:rPr>
        <w:t xml:space="preserve"> contemporary works of speculative dystopian Anglophone fiction. It pays attention to the development of </w:t>
      </w:r>
      <w:proofErr w:type="spellStart"/>
      <w:r>
        <w:rPr>
          <w:color w:val="2B201C"/>
          <w:sz w:val="22"/>
        </w:rPr>
        <w:t>posthuman</w:t>
      </w:r>
      <w:proofErr w:type="spellEnd"/>
      <w:r>
        <w:rPr>
          <w:color w:val="2B201C"/>
          <w:sz w:val="22"/>
        </w:rPr>
        <w:t xml:space="preserve"> subjectivity across mediums and examines the function of testimonial narrative as a means of asserting the </w:t>
      </w:r>
      <w:proofErr w:type="spellStart"/>
      <w:r>
        <w:rPr>
          <w:color w:val="2B201C"/>
          <w:sz w:val="22"/>
        </w:rPr>
        <w:t>posthuman</w:t>
      </w:r>
      <w:proofErr w:type="spellEnd"/>
      <w:r>
        <w:rPr>
          <w:color w:val="2B201C"/>
          <w:sz w:val="22"/>
        </w:rPr>
        <w:t xml:space="preserve"> self while also bridging the gap between the self and others. Following my analysis, testimonial narrative emerges as a fictional space for subject development, recollection, reconstruction, and reflection, thereby exposing the multiplicity that underlines subjectivity, </w:t>
      </w:r>
      <w:proofErr w:type="spellStart"/>
      <w:r>
        <w:rPr>
          <w:color w:val="2B201C"/>
          <w:sz w:val="22"/>
        </w:rPr>
        <w:t>conceptualising</w:t>
      </w:r>
      <w:proofErr w:type="spellEnd"/>
      <w:r>
        <w:rPr>
          <w:color w:val="2B201C"/>
          <w:sz w:val="22"/>
        </w:rPr>
        <w:t xml:space="preserve"> it as an entity that is non-linear and fluid, caught in an ongoing process of becoming. On this basis, my dissertation proposes the concept of the “</w:t>
      </w:r>
      <w:proofErr w:type="spellStart"/>
      <w:r>
        <w:rPr>
          <w:color w:val="2B201C"/>
          <w:sz w:val="22"/>
        </w:rPr>
        <w:t>posthuman</w:t>
      </w:r>
      <w:proofErr w:type="spellEnd"/>
      <w:r>
        <w:rPr>
          <w:color w:val="2B201C"/>
          <w:sz w:val="22"/>
        </w:rPr>
        <w:t xml:space="preserve"> testament,” a concept laden with alternate possibilities for not only subjectivity and social relations, but for history itself, as it parodies existing grand narratives and formulates new mythologies. The emergent </w:t>
      </w:r>
      <w:proofErr w:type="spellStart"/>
      <w:r>
        <w:rPr>
          <w:color w:val="2B201C"/>
          <w:sz w:val="22"/>
        </w:rPr>
        <w:t>posthuman</w:t>
      </w:r>
      <w:proofErr w:type="spellEnd"/>
      <w:r>
        <w:rPr>
          <w:color w:val="2B201C"/>
          <w:sz w:val="22"/>
        </w:rPr>
        <w:t xml:space="preserve"> ethics, I argue, exposes interdependence, diverse agencies, and dynamic entanglements as the foundations for a future that is inclusive for all.</w:t>
      </w:r>
    </w:p>
    <w:p w14:paraId="7CD7F2A2" w14:textId="77777777" w:rsidR="003F0957" w:rsidRDefault="001269E1">
      <w:r>
        <w:br w:type="page"/>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232"/>
        <w:gridCol w:w="2160"/>
        <w:gridCol w:w="2232"/>
        <w:gridCol w:w="2160"/>
      </w:tblGrid>
      <w:tr w:rsidR="003F0957" w14:paraId="25F7584D" w14:textId="77777777">
        <w:trPr>
          <w:trHeight w:hRule="exact" w:val="173"/>
          <w:jc w:val="center"/>
        </w:trPr>
        <w:tc>
          <w:tcPr>
            <w:tcW w:w="2232" w:type="dxa"/>
            <w:shd w:val="clear" w:color="auto" w:fill="7E3343"/>
          </w:tcPr>
          <w:p w14:paraId="03841F99" w14:textId="77777777" w:rsidR="003F0957" w:rsidRDefault="003F0957"/>
        </w:tc>
        <w:tc>
          <w:tcPr>
            <w:tcW w:w="2160" w:type="dxa"/>
            <w:shd w:val="clear" w:color="auto" w:fill="B85C38"/>
          </w:tcPr>
          <w:p w14:paraId="7EBCF609" w14:textId="77777777" w:rsidR="003F0957" w:rsidRDefault="003F0957"/>
        </w:tc>
        <w:tc>
          <w:tcPr>
            <w:tcW w:w="2232" w:type="dxa"/>
            <w:shd w:val="clear" w:color="auto" w:fill="C58A2B"/>
          </w:tcPr>
          <w:p w14:paraId="3237C616" w14:textId="77777777" w:rsidR="003F0957" w:rsidRDefault="003F0957"/>
        </w:tc>
        <w:tc>
          <w:tcPr>
            <w:tcW w:w="2160" w:type="dxa"/>
            <w:shd w:val="clear" w:color="auto" w:fill="6A4558"/>
          </w:tcPr>
          <w:p w14:paraId="20B6F590" w14:textId="77777777" w:rsidR="003F0957" w:rsidRDefault="003F0957"/>
        </w:tc>
      </w:tr>
    </w:tbl>
    <w:p w14:paraId="1D034449" w14:textId="77777777" w:rsidR="00E77872" w:rsidRDefault="00E77872">
      <w:pPr>
        <w:spacing w:after="60" w:line="240" w:lineRule="auto"/>
        <w:rPr>
          <w:rFonts w:ascii="EB Garamond" w:hAnsi="EB Garamond"/>
          <w:b/>
          <w:color w:val="2B201C"/>
          <w:sz w:val="33"/>
        </w:rPr>
      </w:pPr>
    </w:p>
    <w:p w14:paraId="215F74D8" w14:textId="77777777" w:rsidR="003F0957" w:rsidRDefault="001269E1">
      <w:pPr>
        <w:spacing w:after="60" w:line="240" w:lineRule="auto"/>
      </w:pPr>
      <w:proofErr w:type="spellStart"/>
      <w:r>
        <w:rPr>
          <w:rFonts w:ascii="EB Garamond" w:hAnsi="EB Garamond"/>
          <w:b/>
          <w:color w:val="B85C38"/>
          <w:sz w:val="32"/>
        </w:rPr>
        <w:t>Sevi</w:t>
      </w:r>
      <w:proofErr w:type="spellEnd"/>
      <w:r>
        <w:rPr>
          <w:rFonts w:ascii="EB Garamond" w:hAnsi="EB Garamond"/>
          <w:b/>
          <w:color w:val="B85C38"/>
          <w:sz w:val="32"/>
        </w:rPr>
        <w:t xml:space="preserve"> </w:t>
      </w:r>
      <w:proofErr w:type="spellStart"/>
      <w:r>
        <w:rPr>
          <w:rFonts w:ascii="EB Garamond" w:hAnsi="EB Garamond"/>
          <w:b/>
          <w:color w:val="B85C38"/>
          <w:sz w:val="32"/>
        </w:rPr>
        <w:t>Kriara</w:t>
      </w:r>
      <w:proofErr w:type="spellEnd"/>
    </w:p>
    <w:p w14:paraId="66125184" w14:textId="77777777" w:rsidR="003F0957" w:rsidRPr="00193974" w:rsidRDefault="001269E1">
      <w:pPr>
        <w:spacing w:after="320" w:line="264" w:lineRule="auto"/>
        <w:rPr>
          <w:b/>
          <w:bCs/>
        </w:rPr>
      </w:pPr>
      <w:r w:rsidRPr="00193974">
        <w:rPr>
          <w:b/>
          <w:bCs/>
          <w:i/>
          <w:color w:val="2B201C"/>
          <w:sz w:val="24"/>
        </w:rPr>
        <w:t>May-B</w:t>
      </w:r>
      <w:r w:rsidRPr="00193974">
        <w:rPr>
          <w:b/>
          <w:bCs/>
          <w:color w:val="2B201C"/>
          <w:sz w:val="24"/>
        </w:rPr>
        <w:t xml:space="preserve">, there is a New Camino: Decolonizing the Margin in S. Beckett’s </w:t>
      </w:r>
      <w:r w:rsidRPr="00193974">
        <w:rPr>
          <w:b/>
          <w:bCs/>
          <w:i/>
          <w:color w:val="2B201C"/>
          <w:sz w:val="24"/>
        </w:rPr>
        <w:t>Footfalls</w:t>
      </w:r>
      <w:r w:rsidRPr="00193974">
        <w:rPr>
          <w:b/>
          <w:bCs/>
          <w:color w:val="2B201C"/>
          <w:sz w:val="24"/>
        </w:rPr>
        <w:t xml:space="preserve"> and T. Williams’s </w:t>
      </w:r>
      <w:r w:rsidRPr="00193974">
        <w:rPr>
          <w:b/>
          <w:bCs/>
          <w:i/>
          <w:color w:val="2B201C"/>
          <w:sz w:val="24"/>
        </w:rPr>
        <w:t>Camino Real</w:t>
      </w:r>
    </w:p>
    <w:p w14:paraId="67CE26FE" w14:textId="77777777" w:rsidR="003F0957" w:rsidRDefault="001269E1">
      <w:pPr>
        <w:spacing w:after="0" w:line="293" w:lineRule="auto"/>
        <w:jc w:val="both"/>
      </w:pPr>
      <w:r>
        <w:rPr>
          <w:color w:val="2B201C"/>
          <w:sz w:val="22"/>
        </w:rPr>
        <w:t xml:space="preserve">This presentation discusses the intersection between contemporary dance and theatre to argue for the political and potentially </w:t>
      </w:r>
      <w:proofErr w:type="spellStart"/>
      <w:r>
        <w:rPr>
          <w:color w:val="2B201C"/>
          <w:sz w:val="22"/>
        </w:rPr>
        <w:t>decolonial</w:t>
      </w:r>
      <w:proofErr w:type="spellEnd"/>
      <w:r>
        <w:rPr>
          <w:color w:val="2B201C"/>
          <w:sz w:val="22"/>
        </w:rPr>
        <w:t xml:space="preserve"> implications of this artistic convergence. The concepts of embodiment and theatricality are inextricably linked and reveal the proximity between theatre and dance. In this presentation, I examine two theatrical plays that have not been conventionally explored together: Samuel Beckett’s </w:t>
      </w:r>
      <w:r>
        <w:rPr>
          <w:i/>
          <w:color w:val="2B201C"/>
          <w:sz w:val="22"/>
        </w:rPr>
        <w:t>Footfalls</w:t>
      </w:r>
      <w:r>
        <w:rPr>
          <w:color w:val="2B201C"/>
          <w:sz w:val="22"/>
        </w:rPr>
        <w:t xml:space="preserve"> (1976) and Tennessee Williams’s </w:t>
      </w:r>
      <w:r>
        <w:rPr>
          <w:i/>
          <w:color w:val="2B201C"/>
          <w:sz w:val="22"/>
        </w:rPr>
        <w:t>Camino Real</w:t>
      </w:r>
      <w:r>
        <w:rPr>
          <w:color w:val="2B201C"/>
          <w:sz w:val="22"/>
        </w:rPr>
        <w:t xml:space="preserve"> (1953). Read as choreographic pieces, both plays foreground movement as a crucial method for dramatic interpretation. </w:t>
      </w:r>
      <w:r>
        <w:rPr>
          <w:i/>
          <w:color w:val="2B201C"/>
          <w:sz w:val="22"/>
        </w:rPr>
        <w:t>Footfalls</w:t>
      </w:r>
      <w:r>
        <w:rPr>
          <w:color w:val="2B201C"/>
          <w:sz w:val="22"/>
        </w:rPr>
        <w:t xml:space="preserve">, meditating on existential angst, silenced narratives and the pain of memory, engages the audience corporeally and offers the possibility of an interdisciplinary reading through </w:t>
      </w:r>
      <w:proofErr w:type="spellStart"/>
      <w:r>
        <w:rPr>
          <w:color w:val="2B201C"/>
          <w:sz w:val="22"/>
        </w:rPr>
        <w:t>Maguy</w:t>
      </w:r>
      <w:proofErr w:type="spellEnd"/>
      <w:r>
        <w:rPr>
          <w:color w:val="2B201C"/>
          <w:sz w:val="22"/>
        </w:rPr>
        <w:t xml:space="preserve"> Marin’s adaptation of the </w:t>
      </w:r>
      <w:proofErr w:type="spellStart"/>
      <w:r>
        <w:rPr>
          <w:color w:val="2B201C"/>
          <w:sz w:val="22"/>
        </w:rPr>
        <w:t>Beckettian</w:t>
      </w:r>
      <w:proofErr w:type="spellEnd"/>
      <w:r>
        <w:rPr>
          <w:color w:val="2B201C"/>
          <w:sz w:val="22"/>
        </w:rPr>
        <w:t xml:space="preserve"> oeuvre as showcased in her choreographic piece </w:t>
      </w:r>
      <w:r>
        <w:rPr>
          <w:i/>
          <w:color w:val="2B201C"/>
          <w:sz w:val="22"/>
        </w:rPr>
        <w:t>May B</w:t>
      </w:r>
      <w:r>
        <w:rPr>
          <w:color w:val="2B201C"/>
          <w:sz w:val="22"/>
        </w:rPr>
        <w:t xml:space="preserve"> (1981). In the second part, I discuss T. Williams’s </w:t>
      </w:r>
      <w:r>
        <w:rPr>
          <w:i/>
          <w:color w:val="2B201C"/>
          <w:sz w:val="22"/>
        </w:rPr>
        <w:t>Camino Real</w:t>
      </w:r>
      <w:r>
        <w:rPr>
          <w:color w:val="2B201C"/>
          <w:sz w:val="22"/>
        </w:rPr>
        <w:t xml:space="preserve"> as an allegory of the modern human condition and a </w:t>
      </w:r>
      <w:proofErr w:type="spellStart"/>
      <w:r>
        <w:rPr>
          <w:color w:val="2B201C"/>
          <w:sz w:val="22"/>
        </w:rPr>
        <w:t>counternarrative</w:t>
      </w:r>
      <w:proofErr w:type="spellEnd"/>
      <w:r>
        <w:rPr>
          <w:color w:val="2B201C"/>
          <w:sz w:val="22"/>
        </w:rPr>
        <w:t xml:space="preserve"> of the American dream. Set against the sociopolitical background of post-World War II era, Williams’s play can be read alongside </w:t>
      </w:r>
      <w:proofErr w:type="spellStart"/>
      <w:r>
        <w:rPr>
          <w:color w:val="2B201C"/>
          <w:sz w:val="22"/>
        </w:rPr>
        <w:t>Merce</w:t>
      </w:r>
      <w:proofErr w:type="spellEnd"/>
      <w:r>
        <w:rPr>
          <w:color w:val="2B201C"/>
          <w:sz w:val="22"/>
        </w:rPr>
        <w:t xml:space="preserve"> Cunningham’s absurd, vaudeville-inspired choreography </w:t>
      </w:r>
      <w:r>
        <w:rPr>
          <w:i/>
          <w:color w:val="2B201C"/>
          <w:sz w:val="22"/>
        </w:rPr>
        <w:t>Antic Meet</w:t>
      </w:r>
      <w:r>
        <w:rPr>
          <w:color w:val="2B201C"/>
          <w:sz w:val="22"/>
        </w:rPr>
        <w:t xml:space="preserve"> (1958) to demonstrate how human vulnerability is empowered through the body. Although these works did not have a direct </w:t>
      </w:r>
      <w:proofErr w:type="spellStart"/>
      <w:r>
        <w:rPr>
          <w:color w:val="2B201C"/>
          <w:sz w:val="22"/>
        </w:rPr>
        <w:t>decolonial</w:t>
      </w:r>
      <w:proofErr w:type="spellEnd"/>
      <w:r>
        <w:rPr>
          <w:color w:val="2B201C"/>
          <w:sz w:val="22"/>
        </w:rPr>
        <w:t xml:space="preserve"> purpose, I believe their open-endedness and experimental tone invite new methodologies. I thus avoid reading them in a </w:t>
      </w:r>
      <w:proofErr w:type="spellStart"/>
      <w:r>
        <w:rPr>
          <w:color w:val="2B201C"/>
          <w:sz w:val="22"/>
        </w:rPr>
        <w:t>decolonial</w:t>
      </w:r>
      <w:proofErr w:type="spellEnd"/>
      <w:r>
        <w:rPr>
          <w:color w:val="2B201C"/>
          <w:sz w:val="22"/>
        </w:rPr>
        <w:t xml:space="preserve"> light retrospectively; instead, to borrow Edward Said’s term, I approach them “contrapuntally,” being aware of their historical and political contexts and of the playwrights’ backgrounds. Ultimately, I attempt to establish an interdisciplinary, somatic dialogue to reveal how bodily movement reclaims the identity of marginalized individuals, while simultaneously dismantling dominant and violent narratives.</w:t>
      </w:r>
    </w:p>
    <w:p w14:paraId="6ABAC9A5" w14:textId="77777777" w:rsidR="003F0957" w:rsidRDefault="001269E1">
      <w:r>
        <w:br w:type="page"/>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232"/>
        <w:gridCol w:w="2160"/>
        <w:gridCol w:w="2232"/>
        <w:gridCol w:w="2160"/>
      </w:tblGrid>
      <w:tr w:rsidR="003F0957" w14:paraId="799CDC08" w14:textId="77777777">
        <w:trPr>
          <w:trHeight w:hRule="exact" w:val="173"/>
          <w:jc w:val="center"/>
        </w:trPr>
        <w:tc>
          <w:tcPr>
            <w:tcW w:w="2232" w:type="dxa"/>
            <w:shd w:val="clear" w:color="auto" w:fill="7E3343"/>
          </w:tcPr>
          <w:p w14:paraId="1AD6A3F3" w14:textId="77777777" w:rsidR="003F0957" w:rsidRDefault="003F0957"/>
        </w:tc>
        <w:tc>
          <w:tcPr>
            <w:tcW w:w="2160" w:type="dxa"/>
            <w:shd w:val="clear" w:color="auto" w:fill="B85C38"/>
          </w:tcPr>
          <w:p w14:paraId="375C4F0F" w14:textId="77777777" w:rsidR="003F0957" w:rsidRDefault="003F0957"/>
        </w:tc>
        <w:tc>
          <w:tcPr>
            <w:tcW w:w="2232" w:type="dxa"/>
            <w:shd w:val="clear" w:color="auto" w:fill="C58A2B"/>
          </w:tcPr>
          <w:p w14:paraId="6B51CB9D" w14:textId="77777777" w:rsidR="003F0957" w:rsidRDefault="003F0957"/>
        </w:tc>
        <w:tc>
          <w:tcPr>
            <w:tcW w:w="2160" w:type="dxa"/>
            <w:shd w:val="clear" w:color="auto" w:fill="6A4558"/>
          </w:tcPr>
          <w:p w14:paraId="3BFD25B8" w14:textId="77777777" w:rsidR="003F0957" w:rsidRDefault="003F0957"/>
        </w:tc>
      </w:tr>
    </w:tbl>
    <w:p w14:paraId="11B21718" w14:textId="77777777" w:rsidR="00E77872" w:rsidRDefault="00E77872">
      <w:pPr>
        <w:spacing w:after="60" w:line="240" w:lineRule="auto"/>
        <w:rPr>
          <w:rFonts w:ascii="EB Garamond" w:hAnsi="EB Garamond"/>
          <w:b/>
          <w:color w:val="2B201C"/>
          <w:sz w:val="33"/>
        </w:rPr>
      </w:pPr>
    </w:p>
    <w:p w14:paraId="782CB4AE" w14:textId="77777777" w:rsidR="003F0957" w:rsidRDefault="001269E1">
      <w:pPr>
        <w:spacing w:after="60" w:line="240" w:lineRule="auto"/>
      </w:pPr>
      <w:r>
        <w:rPr>
          <w:rFonts w:ascii="EB Garamond" w:hAnsi="EB Garamond"/>
          <w:b/>
          <w:color w:val="B85C38"/>
          <w:sz w:val="32"/>
        </w:rPr>
        <w:t xml:space="preserve">Alexandra </w:t>
      </w:r>
      <w:proofErr w:type="spellStart"/>
      <w:r>
        <w:rPr>
          <w:rFonts w:ascii="EB Garamond" w:hAnsi="EB Garamond"/>
          <w:b/>
          <w:color w:val="B85C38"/>
          <w:sz w:val="32"/>
        </w:rPr>
        <w:t>Liakopoulou</w:t>
      </w:r>
      <w:proofErr w:type="spellEnd"/>
    </w:p>
    <w:p w14:paraId="661C638E" w14:textId="77777777" w:rsidR="003F0957" w:rsidRDefault="001269E1">
      <w:pPr>
        <w:spacing w:after="320" w:line="264" w:lineRule="auto"/>
      </w:pPr>
      <w:r>
        <w:rPr>
          <w:b/>
          <w:color w:val="2B201C"/>
          <w:sz w:val="24"/>
        </w:rPr>
        <w:t xml:space="preserve">The </w:t>
      </w:r>
      <w:proofErr w:type="spellStart"/>
      <w:r>
        <w:rPr>
          <w:b/>
          <w:color w:val="2B201C"/>
          <w:sz w:val="24"/>
        </w:rPr>
        <w:t>Brexit</w:t>
      </w:r>
      <w:proofErr w:type="spellEnd"/>
      <w:r>
        <w:rPr>
          <w:b/>
          <w:color w:val="2B201C"/>
          <w:sz w:val="24"/>
        </w:rPr>
        <w:t xml:space="preserve"> Novel: A Critical Evaluation of a Genre</w:t>
      </w:r>
    </w:p>
    <w:p w14:paraId="6A243199" w14:textId="77777777" w:rsidR="003F0957" w:rsidRDefault="001269E1">
      <w:pPr>
        <w:spacing w:after="0" w:line="293" w:lineRule="auto"/>
        <w:jc w:val="both"/>
      </w:pPr>
      <w:r>
        <w:rPr>
          <w:color w:val="2B201C"/>
          <w:sz w:val="22"/>
        </w:rPr>
        <w:t xml:space="preserve">In my thesis, I have been reading the </w:t>
      </w:r>
      <w:proofErr w:type="spellStart"/>
      <w:r>
        <w:rPr>
          <w:color w:val="2B201C"/>
          <w:sz w:val="22"/>
        </w:rPr>
        <w:t>Brexit</w:t>
      </w:r>
      <w:proofErr w:type="spellEnd"/>
      <w:r>
        <w:rPr>
          <w:color w:val="2B201C"/>
          <w:sz w:val="22"/>
        </w:rPr>
        <w:t xml:space="preserve"> referendum as the moment when the social, racial and geographical divisions that have long plagued British society reached their peak. The referendum is not the cause but rather the symptom of an explosive combination of factors that brought a large proportion of voters to the point of protesting in this way. Despite this being an event of historical proportions, I argue that the contemporary British novel has</w:t>
      </w:r>
      <w:r w:rsidR="0040421A">
        <w:rPr>
          <w:color w:val="2B201C"/>
          <w:sz w:val="22"/>
          <w:lang w:val="en-GB"/>
        </w:rPr>
        <w:t xml:space="preserve"> been struggling to</w:t>
      </w:r>
      <w:r>
        <w:rPr>
          <w:color w:val="2B201C"/>
          <w:sz w:val="22"/>
        </w:rPr>
        <w:t xml:space="preserve"> imagine and articulate the conditions for the creation of an alternative social and cultural reality. Like the ballot paper itself that provided only two options, “Leave” or “Remain” allowing for a monosyllabic reply and ignoring the complexity of the issue at hand, the </w:t>
      </w:r>
      <w:proofErr w:type="spellStart"/>
      <w:r>
        <w:rPr>
          <w:color w:val="2B201C"/>
          <w:sz w:val="22"/>
        </w:rPr>
        <w:t>Brexit</w:t>
      </w:r>
      <w:proofErr w:type="spellEnd"/>
      <w:r>
        <w:rPr>
          <w:color w:val="2B201C"/>
          <w:sz w:val="22"/>
        </w:rPr>
        <w:t xml:space="preserve"> novel finds it difficult to resist a factional logic. Instead, it persists in divisions of “us” and “them,” “</w:t>
      </w:r>
      <w:proofErr w:type="spellStart"/>
      <w:r>
        <w:rPr>
          <w:color w:val="2B201C"/>
          <w:sz w:val="22"/>
        </w:rPr>
        <w:t>Remainers</w:t>
      </w:r>
      <w:proofErr w:type="spellEnd"/>
      <w:r>
        <w:rPr>
          <w:color w:val="2B201C"/>
          <w:sz w:val="22"/>
        </w:rPr>
        <w:t>” and “Leavers,” “natives” and “immigrants,” “</w:t>
      </w:r>
      <w:proofErr w:type="spellStart"/>
      <w:r>
        <w:rPr>
          <w:color w:val="2B201C"/>
          <w:sz w:val="22"/>
        </w:rPr>
        <w:t>metropole</w:t>
      </w:r>
      <w:proofErr w:type="spellEnd"/>
      <w:r>
        <w:rPr>
          <w:color w:val="2B201C"/>
          <w:sz w:val="22"/>
        </w:rPr>
        <w:t>” and “periphery,” without necessarily suggesting the possibility of a reality liberated from divisions. The aim of this presentation is to articulate the research questions and main arguments of my thesis, alongside a brief overview of its three chapters and the project’s originality and contribution to English Studies as well as my methodological approach and the challenges I have been facing so far.</w:t>
      </w:r>
    </w:p>
    <w:p w14:paraId="098FB3D2" w14:textId="77777777" w:rsidR="003F0957" w:rsidRDefault="001269E1">
      <w:r>
        <w:br w:type="page"/>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232"/>
        <w:gridCol w:w="2160"/>
        <w:gridCol w:w="2232"/>
        <w:gridCol w:w="2160"/>
      </w:tblGrid>
      <w:tr w:rsidR="003F0957" w14:paraId="750F2EEF" w14:textId="77777777">
        <w:trPr>
          <w:trHeight w:hRule="exact" w:val="173"/>
          <w:jc w:val="center"/>
        </w:trPr>
        <w:tc>
          <w:tcPr>
            <w:tcW w:w="2232" w:type="dxa"/>
            <w:shd w:val="clear" w:color="auto" w:fill="7E3343"/>
          </w:tcPr>
          <w:p w14:paraId="68F22EB7" w14:textId="77777777" w:rsidR="003F0957" w:rsidRDefault="003F0957"/>
        </w:tc>
        <w:tc>
          <w:tcPr>
            <w:tcW w:w="2160" w:type="dxa"/>
            <w:shd w:val="clear" w:color="auto" w:fill="B85C38"/>
          </w:tcPr>
          <w:p w14:paraId="2DF721DC" w14:textId="77777777" w:rsidR="003F0957" w:rsidRDefault="003F0957"/>
        </w:tc>
        <w:tc>
          <w:tcPr>
            <w:tcW w:w="2232" w:type="dxa"/>
            <w:shd w:val="clear" w:color="auto" w:fill="C58A2B"/>
          </w:tcPr>
          <w:p w14:paraId="7CDAC6AA" w14:textId="77777777" w:rsidR="003F0957" w:rsidRDefault="003F0957"/>
        </w:tc>
        <w:tc>
          <w:tcPr>
            <w:tcW w:w="2160" w:type="dxa"/>
            <w:shd w:val="clear" w:color="auto" w:fill="6A4558"/>
          </w:tcPr>
          <w:p w14:paraId="70046E7A" w14:textId="77777777" w:rsidR="003F0957" w:rsidRDefault="003F0957"/>
        </w:tc>
      </w:tr>
    </w:tbl>
    <w:p w14:paraId="62888753" w14:textId="77777777" w:rsidR="00E77872" w:rsidRDefault="00E77872">
      <w:pPr>
        <w:spacing w:after="60" w:line="240" w:lineRule="auto"/>
        <w:rPr>
          <w:rFonts w:ascii="EB Garamond" w:hAnsi="EB Garamond"/>
          <w:b/>
          <w:color w:val="2B201C"/>
          <w:sz w:val="33"/>
        </w:rPr>
      </w:pPr>
    </w:p>
    <w:p w14:paraId="2ABC68C6" w14:textId="77777777" w:rsidR="003F0957" w:rsidRDefault="001269E1">
      <w:pPr>
        <w:spacing w:after="60" w:line="240" w:lineRule="auto"/>
      </w:pPr>
      <w:r>
        <w:rPr>
          <w:rFonts w:ascii="EB Garamond" w:hAnsi="EB Garamond"/>
          <w:b/>
          <w:color w:val="B85C38"/>
          <w:sz w:val="32"/>
        </w:rPr>
        <w:t xml:space="preserve">Anna </w:t>
      </w:r>
      <w:proofErr w:type="spellStart"/>
      <w:r>
        <w:rPr>
          <w:rFonts w:ascii="EB Garamond" w:hAnsi="EB Garamond"/>
          <w:b/>
          <w:color w:val="B85C38"/>
          <w:sz w:val="32"/>
        </w:rPr>
        <w:t>Louri</w:t>
      </w:r>
      <w:proofErr w:type="spellEnd"/>
    </w:p>
    <w:p w14:paraId="190C43CE" w14:textId="77777777" w:rsidR="003F0957" w:rsidRDefault="001269E1">
      <w:pPr>
        <w:spacing w:after="320" w:line="264" w:lineRule="auto"/>
      </w:pPr>
      <w:r>
        <w:rPr>
          <w:b/>
          <w:color w:val="2B201C"/>
          <w:sz w:val="24"/>
        </w:rPr>
        <w:t xml:space="preserve">“My desolation does begin to make / </w:t>
      </w:r>
      <w:proofErr w:type="gramStart"/>
      <w:r>
        <w:rPr>
          <w:b/>
          <w:color w:val="2B201C"/>
          <w:sz w:val="24"/>
        </w:rPr>
        <w:t>A</w:t>
      </w:r>
      <w:proofErr w:type="gramEnd"/>
      <w:r>
        <w:rPr>
          <w:b/>
          <w:color w:val="2B201C"/>
          <w:sz w:val="24"/>
        </w:rPr>
        <w:t xml:space="preserve"> better life”: The Anticipatory Illumination of Utopia in William </w:t>
      </w:r>
      <w:r w:rsidRPr="00193974">
        <w:rPr>
          <w:b/>
          <w:color w:val="2B201C"/>
          <w:sz w:val="24"/>
        </w:rPr>
        <w:t xml:space="preserve">Shakespeare’s </w:t>
      </w:r>
      <w:r w:rsidRPr="00193974">
        <w:rPr>
          <w:b/>
          <w:i/>
          <w:color w:val="2B201C"/>
          <w:sz w:val="24"/>
        </w:rPr>
        <w:t>Antony and Cleopatra</w:t>
      </w:r>
    </w:p>
    <w:p w14:paraId="06920171" w14:textId="77777777" w:rsidR="003F0957" w:rsidRDefault="001269E1">
      <w:pPr>
        <w:spacing w:after="0" w:line="293" w:lineRule="auto"/>
        <w:jc w:val="both"/>
      </w:pPr>
      <w:r>
        <w:rPr>
          <w:color w:val="2B201C"/>
          <w:sz w:val="22"/>
        </w:rPr>
        <w:t xml:space="preserve">William Shakespeare’s </w:t>
      </w:r>
      <w:r>
        <w:rPr>
          <w:i/>
          <w:color w:val="2B201C"/>
          <w:sz w:val="22"/>
        </w:rPr>
        <w:t>Antony and Cleopatra</w:t>
      </w:r>
      <w:r>
        <w:rPr>
          <w:color w:val="2B201C"/>
          <w:sz w:val="22"/>
        </w:rPr>
        <w:t xml:space="preserve"> is a play </w:t>
      </w:r>
      <w:proofErr w:type="spellStart"/>
      <w:r>
        <w:rPr>
          <w:color w:val="2B201C"/>
          <w:sz w:val="22"/>
        </w:rPr>
        <w:t>characterised</w:t>
      </w:r>
      <w:proofErr w:type="spellEnd"/>
      <w:r>
        <w:rPr>
          <w:color w:val="2B201C"/>
          <w:sz w:val="22"/>
        </w:rPr>
        <w:t xml:space="preserve"> by extremes. Dramatic action moves from one place to the other, constantly alternating between Rome and Egypt, with the first representing austerity, and the second representing indulgent abundance. The liaison between Antony and Cleopatra brings them at odds with their responsibilities and </w:t>
      </w:r>
      <w:proofErr w:type="spellStart"/>
      <w:r>
        <w:rPr>
          <w:color w:val="2B201C"/>
          <w:sz w:val="22"/>
        </w:rPr>
        <w:t>destabilises</w:t>
      </w:r>
      <w:proofErr w:type="spellEnd"/>
      <w:r>
        <w:rPr>
          <w:color w:val="2B201C"/>
          <w:sz w:val="22"/>
        </w:rPr>
        <w:t xml:space="preserve"> them, while at the same time making clear that a happy ending is almost impossible. By the final lines of the play, both characters are left separated from each other, dead but still hoping, trying to prove that they were somehow victorious in finding solace. In this seemingly hopeless setting, this presentation will attempt to uncover utopian hope. Stemming from </w:t>
      </w:r>
      <w:proofErr w:type="spellStart"/>
      <w:r>
        <w:rPr>
          <w:color w:val="2B201C"/>
          <w:sz w:val="22"/>
        </w:rPr>
        <w:t>Enrst</w:t>
      </w:r>
      <w:proofErr w:type="spellEnd"/>
      <w:r>
        <w:rPr>
          <w:color w:val="2B201C"/>
          <w:sz w:val="22"/>
        </w:rPr>
        <w:t xml:space="preserve"> Bloch’s modernist utopian theory about hope being the main instigator and creator of utopia, this presentation will investigate the concealed instances of hope in the play and interpret them according to Bloch’s anticipatory illumination theory. The integral need for utopian existence is demonstrated by Cleopatra and Antony’s unorthodox bond, a bond that created a utopian microcosm where only they exist and that remains undefeated and hopeful despite their mutual suicides. Cleopatra’s desolation is contrasted to the magnitude of her character as it is expressed onstage, and thus becomes the key to her redemption, while simultaneously bringing Antony to the same royal level. Ultimately, this analysis aspires to shed light on an aspect of utopian theory so far overlooked and connect it to Renaissance drama, stretching thus the limits of utopian theory and introducing novel ways of discovering and expanding it.</w:t>
      </w:r>
    </w:p>
    <w:p w14:paraId="2A4E0A18" w14:textId="77777777" w:rsidR="003F0957" w:rsidRDefault="001269E1">
      <w:r>
        <w:br w:type="page"/>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232"/>
        <w:gridCol w:w="2160"/>
        <w:gridCol w:w="2232"/>
        <w:gridCol w:w="2160"/>
      </w:tblGrid>
      <w:tr w:rsidR="003F0957" w14:paraId="244D82CC" w14:textId="77777777">
        <w:trPr>
          <w:trHeight w:hRule="exact" w:val="173"/>
          <w:jc w:val="center"/>
        </w:trPr>
        <w:tc>
          <w:tcPr>
            <w:tcW w:w="2232" w:type="dxa"/>
            <w:shd w:val="clear" w:color="auto" w:fill="7E3343"/>
          </w:tcPr>
          <w:p w14:paraId="0EE5FD7C" w14:textId="77777777" w:rsidR="003F0957" w:rsidRDefault="003F0957"/>
        </w:tc>
        <w:tc>
          <w:tcPr>
            <w:tcW w:w="2160" w:type="dxa"/>
            <w:shd w:val="clear" w:color="auto" w:fill="B85C38"/>
          </w:tcPr>
          <w:p w14:paraId="283A2B75" w14:textId="77777777" w:rsidR="003F0957" w:rsidRDefault="003F0957"/>
        </w:tc>
        <w:tc>
          <w:tcPr>
            <w:tcW w:w="2232" w:type="dxa"/>
            <w:shd w:val="clear" w:color="auto" w:fill="C58A2B"/>
          </w:tcPr>
          <w:p w14:paraId="5AA1DDD3" w14:textId="77777777" w:rsidR="003F0957" w:rsidRDefault="003F0957"/>
        </w:tc>
        <w:tc>
          <w:tcPr>
            <w:tcW w:w="2160" w:type="dxa"/>
            <w:shd w:val="clear" w:color="auto" w:fill="6A4558"/>
          </w:tcPr>
          <w:p w14:paraId="0EC7DBF2" w14:textId="77777777" w:rsidR="003F0957" w:rsidRDefault="003F0957"/>
        </w:tc>
      </w:tr>
    </w:tbl>
    <w:p w14:paraId="4C9F8235" w14:textId="77777777" w:rsidR="00E77872" w:rsidRDefault="00E77872">
      <w:pPr>
        <w:spacing w:after="60" w:line="240" w:lineRule="auto"/>
        <w:rPr>
          <w:rFonts w:ascii="EB Garamond" w:hAnsi="EB Garamond"/>
          <w:b/>
          <w:color w:val="2B201C"/>
          <w:sz w:val="33"/>
        </w:rPr>
      </w:pPr>
    </w:p>
    <w:p w14:paraId="1E530AA4" w14:textId="77777777" w:rsidR="003F0957" w:rsidRDefault="001269E1">
      <w:pPr>
        <w:spacing w:after="60" w:line="240" w:lineRule="auto"/>
      </w:pPr>
      <w:proofErr w:type="spellStart"/>
      <w:r>
        <w:rPr>
          <w:rFonts w:ascii="EB Garamond" w:hAnsi="EB Garamond"/>
          <w:b/>
          <w:color w:val="B85C38"/>
          <w:sz w:val="32"/>
        </w:rPr>
        <w:t>Panagiotis</w:t>
      </w:r>
      <w:proofErr w:type="spellEnd"/>
      <w:r>
        <w:rPr>
          <w:rFonts w:ascii="EB Garamond" w:hAnsi="EB Garamond"/>
          <w:b/>
          <w:color w:val="B85C38"/>
          <w:sz w:val="32"/>
        </w:rPr>
        <w:t xml:space="preserve"> Orfanos</w:t>
      </w:r>
    </w:p>
    <w:p w14:paraId="72CBF1D1" w14:textId="77777777" w:rsidR="003F0957" w:rsidRDefault="001269E1">
      <w:pPr>
        <w:spacing w:after="320" w:line="264" w:lineRule="auto"/>
      </w:pPr>
      <w:r>
        <w:rPr>
          <w:b/>
          <w:color w:val="2B201C"/>
          <w:sz w:val="24"/>
        </w:rPr>
        <w:t>Speculative Voices: Reimagining the Limits of Ethical Co-existence at the Age of the Unthinkable</w:t>
      </w:r>
    </w:p>
    <w:p w14:paraId="1508E0A1" w14:textId="77777777" w:rsidR="003F0957" w:rsidRDefault="001269E1">
      <w:pPr>
        <w:spacing w:after="0" w:line="293" w:lineRule="auto"/>
        <w:jc w:val="both"/>
      </w:pPr>
      <w:r>
        <w:rPr>
          <w:color w:val="2B201C"/>
          <w:sz w:val="22"/>
        </w:rPr>
        <w:t xml:space="preserve">At a time of an environmental crisis that threatens even the survival of the human species, a rethinking of human and more-than-human relations seems crucial. The imperative need to decenter the human for a sustainable coexistence of all living beings on Earth begs a question similar to </w:t>
      </w:r>
      <w:proofErr w:type="spellStart"/>
      <w:r>
        <w:rPr>
          <w:color w:val="2B201C"/>
          <w:sz w:val="22"/>
        </w:rPr>
        <w:t>Gayatri</w:t>
      </w:r>
      <w:proofErr w:type="spellEnd"/>
      <w:r>
        <w:rPr>
          <w:color w:val="2B201C"/>
          <w:sz w:val="22"/>
        </w:rPr>
        <w:t xml:space="preserve"> </w:t>
      </w:r>
      <w:proofErr w:type="spellStart"/>
      <w:r>
        <w:rPr>
          <w:color w:val="2B201C"/>
          <w:sz w:val="22"/>
        </w:rPr>
        <w:t>Chakravorty</w:t>
      </w:r>
      <w:proofErr w:type="spellEnd"/>
      <w:r>
        <w:rPr>
          <w:color w:val="2B201C"/>
          <w:sz w:val="22"/>
        </w:rPr>
        <w:t xml:space="preserve"> </w:t>
      </w:r>
      <w:proofErr w:type="spellStart"/>
      <w:r>
        <w:rPr>
          <w:color w:val="2B201C"/>
          <w:sz w:val="22"/>
        </w:rPr>
        <w:t>Spivak’s</w:t>
      </w:r>
      <w:proofErr w:type="spellEnd"/>
      <w:r>
        <w:rPr>
          <w:color w:val="2B201C"/>
          <w:sz w:val="22"/>
        </w:rPr>
        <w:t xml:space="preserve"> seminal essay: “Can more-than-human agents speak?” For this reason, my main theoretical focus so far has been the work of theorists such as Donna </w:t>
      </w:r>
      <w:proofErr w:type="spellStart"/>
      <w:r>
        <w:rPr>
          <w:color w:val="2B201C"/>
          <w:sz w:val="22"/>
        </w:rPr>
        <w:t>Haraway</w:t>
      </w:r>
      <w:proofErr w:type="spellEnd"/>
      <w:r>
        <w:rPr>
          <w:color w:val="2B201C"/>
          <w:sz w:val="22"/>
        </w:rPr>
        <w:t xml:space="preserve">, Anna </w:t>
      </w:r>
      <w:proofErr w:type="spellStart"/>
      <w:r>
        <w:rPr>
          <w:color w:val="2B201C"/>
          <w:sz w:val="22"/>
        </w:rPr>
        <w:t>Tsing</w:t>
      </w:r>
      <w:proofErr w:type="spellEnd"/>
      <w:r>
        <w:rPr>
          <w:color w:val="2B201C"/>
          <w:sz w:val="22"/>
        </w:rPr>
        <w:t xml:space="preserve"> and Eduardo Kohn who have offered major contributions in a swift away from an anthropocentric way of understanding relations between humans and other than human agents. The theorizations of these key figures hold undisputable value but do not fully resolve </w:t>
      </w:r>
      <w:proofErr w:type="spellStart"/>
      <w:r>
        <w:rPr>
          <w:color w:val="2B201C"/>
          <w:sz w:val="22"/>
        </w:rPr>
        <w:t>Spivak’s</w:t>
      </w:r>
      <w:proofErr w:type="spellEnd"/>
      <w:r>
        <w:rPr>
          <w:color w:val="2B201C"/>
          <w:sz w:val="22"/>
        </w:rPr>
        <w:t xml:space="preserve"> concern with the risk of </w:t>
      </w:r>
      <w:proofErr w:type="spellStart"/>
      <w:r>
        <w:rPr>
          <w:color w:val="2B201C"/>
          <w:sz w:val="22"/>
        </w:rPr>
        <w:t>reinscribing</w:t>
      </w:r>
      <w:proofErr w:type="spellEnd"/>
      <w:r>
        <w:rPr>
          <w:color w:val="2B201C"/>
          <w:sz w:val="22"/>
        </w:rPr>
        <w:t xml:space="preserve"> the very silencing one seeks to undo when attempting to “give voice” to agents that do not belong to the dominant discourse. My aim has therefore been to open a dialogue between these theories and the residual anthropocentrism they echo with the speculative fiction genre – whose narrative conditions enable an exit from anthropocentric models of “rational” representation – through a close reading of the </w:t>
      </w:r>
      <w:proofErr w:type="spellStart"/>
      <w:r>
        <w:rPr>
          <w:i/>
          <w:color w:val="2B201C"/>
          <w:sz w:val="22"/>
        </w:rPr>
        <w:t>Binti</w:t>
      </w:r>
      <w:proofErr w:type="spellEnd"/>
      <w:r>
        <w:rPr>
          <w:i/>
          <w:color w:val="2B201C"/>
          <w:sz w:val="22"/>
        </w:rPr>
        <w:t xml:space="preserve"> trilogy</w:t>
      </w:r>
      <w:r>
        <w:rPr>
          <w:color w:val="2B201C"/>
          <w:sz w:val="22"/>
        </w:rPr>
        <w:t xml:space="preserve"> (2021) by </w:t>
      </w:r>
      <w:proofErr w:type="spellStart"/>
      <w:r>
        <w:rPr>
          <w:color w:val="2B201C"/>
          <w:sz w:val="22"/>
        </w:rPr>
        <w:t>Nnendi</w:t>
      </w:r>
      <w:proofErr w:type="spellEnd"/>
      <w:r>
        <w:rPr>
          <w:color w:val="2B201C"/>
          <w:sz w:val="22"/>
        </w:rPr>
        <w:t xml:space="preserve"> </w:t>
      </w:r>
      <w:proofErr w:type="spellStart"/>
      <w:r>
        <w:rPr>
          <w:color w:val="2B201C"/>
          <w:sz w:val="22"/>
        </w:rPr>
        <w:t>Okorafor</w:t>
      </w:r>
      <w:proofErr w:type="spellEnd"/>
      <w:r>
        <w:rPr>
          <w:color w:val="2B201C"/>
          <w:sz w:val="22"/>
        </w:rPr>
        <w:t xml:space="preserve">. With this intention, I have attempted to explore how the relationships </w:t>
      </w:r>
      <w:proofErr w:type="spellStart"/>
      <w:r>
        <w:rPr>
          <w:color w:val="2B201C"/>
          <w:sz w:val="22"/>
        </w:rPr>
        <w:t>Binti</w:t>
      </w:r>
      <w:proofErr w:type="spellEnd"/>
      <w:r>
        <w:rPr>
          <w:color w:val="2B201C"/>
          <w:sz w:val="22"/>
        </w:rPr>
        <w:t xml:space="preserve">, the protagonist, forms in the books open a space where traditional models of voice representation can be unsettled. Instead of “speaking for,” </w:t>
      </w:r>
      <w:proofErr w:type="spellStart"/>
      <w:r>
        <w:rPr>
          <w:color w:val="2B201C"/>
          <w:sz w:val="22"/>
        </w:rPr>
        <w:t>Binti</w:t>
      </w:r>
      <w:proofErr w:type="spellEnd"/>
      <w:r>
        <w:rPr>
          <w:color w:val="2B201C"/>
          <w:sz w:val="22"/>
        </w:rPr>
        <w:t xml:space="preserve"> embodies difference as she undergoes both physical and emotional transformations through her encounters with different human and more-than-human agents that allow not only for her survival and but also for a co-creation of meaning through symbiotic relationships and an ethical representation of more-than-human voices. These transformations can also serve as a point of departure for us as readers and human beings to imagine and approach more ethically and responsibly what more-than-human </w:t>
      </w:r>
      <w:proofErr w:type="spellStart"/>
      <w:r>
        <w:rPr>
          <w:color w:val="2B201C"/>
          <w:sz w:val="22"/>
        </w:rPr>
        <w:t>semiosis</w:t>
      </w:r>
      <w:proofErr w:type="spellEnd"/>
      <w:r>
        <w:rPr>
          <w:color w:val="2B201C"/>
          <w:sz w:val="22"/>
        </w:rPr>
        <w:t xml:space="preserve"> is. A considerable part of my research has also been the theoretical work of </w:t>
      </w:r>
      <w:proofErr w:type="spellStart"/>
      <w:r>
        <w:rPr>
          <w:color w:val="2B201C"/>
          <w:sz w:val="22"/>
        </w:rPr>
        <w:t>Amitav</w:t>
      </w:r>
      <w:proofErr w:type="spellEnd"/>
      <w:r>
        <w:rPr>
          <w:color w:val="2B201C"/>
          <w:sz w:val="22"/>
        </w:rPr>
        <w:t xml:space="preserve"> </w:t>
      </w:r>
      <w:proofErr w:type="spellStart"/>
      <w:r>
        <w:rPr>
          <w:color w:val="2B201C"/>
          <w:sz w:val="22"/>
        </w:rPr>
        <w:t>Ghosh</w:t>
      </w:r>
      <w:proofErr w:type="spellEnd"/>
      <w:r>
        <w:rPr>
          <w:color w:val="2B201C"/>
          <w:sz w:val="22"/>
        </w:rPr>
        <w:t xml:space="preserve"> and his idea of “the unthinkable” as well as </w:t>
      </w:r>
      <w:proofErr w:type="spellStart"/>
      <w:r>
        <w:rPr>
          <w:color w:val="2B201C"/>
          <w:sz w:val="22"/>
        </w:rPr>
        <w:t>Dipesh</w:t>
      </w:r>
      <w:proofErr w:type="spellEnd"/>
      <w:r>
        <w:rPr>
          <w:color w:val="2B201C"/>
          <w:sz w:val="22"/>
        </w:rPr>
        <w:t xml:space="preserve"> </w:t>
      </w:r>
      <w:proofErr w:type="spellStart"/>
      <w:r>
        <w:rPr>
          <w:color w:val="2B201C"/>
          <w:sz w:val="22"/>
        </w:rPr>
        <w:t>Chakrabarty’s</w:t>
      </w:r>
      <w:proofErr w:type="spellEnd"/>
      <w:r>
        <w:rPr>
          <w:color w:val="2B201C"/>
          <w:sz w:val="22"/>
        </w:rPr>
        <w:t xml:space="preserve"> theorization of the Earth as global, an anthropocentric construct, and planetary, a physical system. I am currently exploring how these ideas are interconnected with the present environmental and geopolitical crisis through the literary work of Ursula K. Le </w:t>
      </w:r>
      <w:proofErr w:type="spellStart"/>
      <w:r>
        <w:rPr>
          <w:color w:val="2B201C"/>
          <w:sz w:val="22"/>
        </w:rPr>
        <w:t>Guin</w:t>
      </w:r>
      <w:proofErr w:type="spellEnd"/>
      <w:r>
        <w:rPr>
          <w:color w:val="2B201C"/>
          <w:sz w:val="22"/>
        </w:rPr>
        <w:t xml:space="preserve"> and Alexandra </w:t>
      </w:r>
      <w:proofErr w:type="spellStart"/>
      <w:r>
        <w:rPr>
          <w:color w:val="2B201C"/>
          <w:sz w:val="22"/>
        </w:rPr>
        <w:t>Grunberg</w:t>
      </w:r>
      <w:proofErr w:type="spellEnd"/>
      <w:r>
        <w:rPr>
          <w:color w:val="2B201C"/>
          <w:sz w:val="22"/>
        </w:rPr>
        <w:t>.</w:t>
      </w:r>
    </w:p>
    <w:p w14:paraId="109E4427" w14:textId="77777777" w:rsidR="003F0957" w:rsidRDefault="001269E1">
      <w:r>
        <w:br w:type="page"/>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232"/>
        <w:gridCol w:w="2160"/>
        <w:gridCol w:w="2232"/>
        <w:gridCol w:w="2160"/>
      </w:tblGrid>
      <w:tr w:rsidR="003F0957" w14:paraId="0D25E88B" w14:textId="77777777">
        <w:trPr>
          <w:trHeight w:hRule="exact" w:val="173"/>
          <w:jc w:val="center"/>
        </w:trPr>
        <w:tc>
          <w:tcPr>
            <w:tcW w:w="2232" w:type="dxa"/>
            <w:shd w:val="clear" w:color="auto" w:fill="7E3343"/>
          </w:tcPr>
          <w:p w14:paraId="22A94078" w14:textId="77777777" w:rsidR="003F0957" w:rsidRDefault="003F0957"/>
        </w:tc>
        <w:tc>
          <w:tcPr>
            <w:tcW w:w="2160" w:type="dxa"/>
            <w:shd w:val="clear" w:color="auto" w:fill="B85C38"/>
          </w:tcPr>
          <w:p w14:paraId="521B0D31" w14:textId="77777777" w:rsidR="003F0957" w:rsidRDefault="003F0957"/>
        </w:tc>
        <w:tc>
          <w:tcPr>
            <w:tcW w:w="2232" w:type="dxa"/>
            <w:shd w:val="clear" w:color="auto" w:fill="C58A2B"/>
          </w:tcPr>
          <w:p w14:paraId="72D5E338" w14:textId="77777777" w:rsidR="003F0957" w:rsidRDefault="003F0957"/>
        </w:tc>
        <w:tc>
          <w:tcPr>
            <w:tcW w:w="2160" w:type="dxa"/>
            <w:shd w:val="clear" w:color="auto" w:fill="6A4558"/>
          </w:tcPr>
          <w:p w14:paraId="127AD40E" w14:textId="77777777" w:rsidR="003F0957" w:rsidRDefault="003F0957"/>
        </w:tc>
      </w:tr>
    </w:tbl>
    <w:p w14:paraId="0256CC9B" w14:textId="77777777" w:rsidR="00E77872" w:rsidRDefault="00E77872">
      <w:pPr>
        <w:spacing w:after="60" w:line="240" w:lineRule="auto"/>
        <w:rPr>
          <w:rFonts w:ascii="EB Garamond" w:hAnsi="EB Garamond"/>
          <w:b/>
          <w:color w:val="2B201C"/>
          <w:sz w:val="33"/>
        </w:rPr>
      </w:pPr>
    </w:p>
    <w:p w14:paraId="56F3FAF3" w14:textId="77777777" w:rsidR="003F0957" w:rsidRDefault="001269E1">
      <w:pPr>
        <w:spacing w:after="60" w:line="240" w:lineRule="auto"/>
      </w:pPr>
      <w:r>
        <w:rPr>
          <w:rFonts w:ascii="EB Garamond" w:hAnsi="EB Garamond"/>
          <w:b/>
          <w:color w:val="B85C38"/>
          <w:sz w:val="32"/>
        </w:rPr>
        <w:t xml:space="preserve">Spyros </w:t>
      </w:r>
      <w:proofErr w:type="spellStart"/>
      <w:r>
        <w:rPr>
          <w:rFonts w:ascii="EB Garamond" w:hAnsi="EB Garamond"/>
          <w:b/>
          <w:color w:val="B85C38"/>
          <w:sz w:val="32"/>
        </w:rPr>
        <w:t>Papastamos</w:t>
      </w:r>
      <w:proofErr w:type="spellEnd"/>
    </w:p>
    <w:p w14:paraId="68EF0F4C" w14:textId="77777777" w:rsidR="003F0957" w:rsidRPr="00193974" w:rsidRDefault="001269E1">
      <w:pPr>
        <w:spacing w:after="320" w:line="264" w:lineRule="auto"/>
        <w:rPr>
          <w:b/>
        </w:rPr>
      </w:pPr>
      <w:proofErr w:type="spellStart"/>
      <w:r w:rsidRPr="00193974">
        <w:rPr>
          <w:b/>
          <w:color w:val="2B201C"/>
          <w:sz w:val="24"/>
        </w:rPr>
        <w:t>Performative</w:t>
      </w:r>
      <w:proofErr w:type="spellEnd"/>
      <w:r w:rsidRPr="00193974">
        <w:rPr>
          <w:b/>
          <w:color w:val="2B201C"/>
          <w:sz w:val="24"/>
        </w:rPr>
        <w:t xml:space="preserve"> (Fugitive) Writing and the Black Radical Tradition in </w:t>
      </w:r>
      <w:r w:rsidR="00452988">
        <w:rPr>
          <w:b/>
          <w:color w:val="2B201C"/>
          <w:sz w:val="24"/>
        </w:rPr>
        <w:t xml:space="preserve">Fred </w:t>
      </w:r>
      <w:proofErr w:type="spellStart"/>
      <w:r w:rsidR="00452988">
        <w:rPr>
          <w:b/>
          <w:color w:val="2B201C"/>
          <w:sz w:val="24"/>
        </w:rPr>
        <w:t>Moten’s</w:t>
      </w:r>
      <w:proofErr w:type="spellEnd"/>
      <w:r w:rsidR="00452988">
        <w:rPr>
          <w:b/>
          <w:color w:val="2B201C"/>
          <w:sz w:val="24"/>
        </w:rPr>
        <w:t xml:space="preserve"> </w:t>
      </w:r>
      <w:r w:rsidR="00452988" w:rsidRPr="00452988">
        <w:rPr>
          <w:b/>
          <w:i/>
          <w:iCs/>
          <w:color w:val="2B201C"/>
          <w:sz w:val="24"/>
        </w:rPr>
        <w:t>Black and Blur</w:t>
      </w:r>
      <w:r w:rsidR="00452988">
        <w:rPr>
          <w:b/>
          <w:color w:val="2B201C"/>
          <w:sz w:val="24"/>
        </w:rPr>
        <w:t xml:space="preserve"> </w:t>
      </w:r>
      <w:r w:rsidRPr="00193974">
        <w:rPr>
          <w:b/>
          <w:color w:val="2B201C"/>
          <w:sz w:val="24"/>
        </w:rPr>
        <w:t xml:space="preserve">and </w:t>
      </w:r>
      <w:r w:rsidR="00452988" w:rsidRPr="00452988">
        <w:rPr>
          <w:b/>
          <w:i/>
          <w:iCs/>
          <w:color w:val="2B201C"/>
          <w:sz w:val="24"/>
        </w:rPr>
        <w:t>Stolen Life</w:t>
      </w:r>
    </w:p>
    <w:p w14:paraId="362AD158" w14:textId="77777777" w:rsidR="003F0957" w:rsidRDefault="001269E1">
      <w:pPr>
        <w:spacing w:after="0" w:line="293" w:lineRule="auto"/>
        <w:jc w:val="both"/>
      </w:pPr>
      <w:r>
        <w:rPr>
          <w:color w:val="2B201C"/>
          <w:sz w:val="22"/>
        </w:rPr>
        <w:t xml:space="preserve">In the relatively recent academic field of Word and Music studies, a </w:t>
      </w:r>
      <w:proofErr w:type="spellStart"/>
      <w:r>
        <w:rPr>
          <w:color w:val="2B201C"/>
          <w:sz w:val="22"/>
        </w:rPr>
        <w:t>transdisciplinary</w:t>
      </w:r>
      <w:proofErr w:type="spellEnd"/>
      <w:r>
        <w:rPr>
          <w:color w:val="2B201C"/>
          <w:sz w:val="22"/>
        </w:rPr>
        <w:t xml:space="preserve"> approach to the study of music and literature evokes insights that reveal the intricate yet intimate relationship between the verbal element in music and the lyrical element in literature. Through a close reading of selected excerpts from the experimental creative writing and poetics of </w:t>
      </w:r>
      <w:r w:rsidR="00452988">
        <w:rPr>
          <w:color w:val="2B201C"/>
          <w:sz w:val="22"/>
        </w:rPr>
        <w:t xml:space="preserve">Fred </w:t>
      </w:r>
      <w:proofErr w:type="spellStart"/>
      <w:r w:rsidR="00452988">
        <w:rPr>
          <w:color w:val="2B201C"/>
          <w:sz w:val="22"/>
        </w:rPr>
        <w:t>Moten</w:t>
      </w:r>
      <w:proofErr w:type="spellEnd"/>
      <w:r>
        <w:rPr>
          <w:color w:val="2B201C"/>
          <w:sz w:val="22"/>
        </w:rPr>
        <w:t xml:space="preserve">, this presentation will seek to address questions of methodology in the context of the relation between the lyrical element and the legacy of Black radical theory and tradition which has been thoroughly </w:t>
      </w:r>
      <w:proofErr w:type="spellStart"/>
      <w:r>
        <w:rPr>
          <w:color w:val="2B201C"/>
          <w:sz w:val="22"/>
        </w:rPr>
        <w:t>analysed</w:t>
      </w:r>
      <w:proofErr w:type="spellEnd"/>
      <w:r>
        <w:rPr>
          <w:color w:val="2B201C"/>
          <w:sz w:val="22"/>
        </w:rPr>
        <w:t xml:space="preserve"> in Cedric Robinson’s </w:t>
      </w:r>
      <w:r>
        <w:rPr>
          <w:i/>
          <w:color w:val="2B201C"/>
          <w:sz w:val="22"/>
        </w:rPr>
        <w:t>Black Marxism: The Making of the Black Radical Tradition</w:t>
      </w:r>
      <w:r>
        <w:rPr>
          <w:color w:val="2B201C"/>
          <w:sz w:val="22"/>
        </w:rPr>
        <w:t xml:space="preserve">, among other texts. Is there an actual “lyrical interruption of narrative” as Fred </w:t>
      </w:r>
      <w:proofErr w:type="spellStart"/>
      <w:r>
        <w:rPr>
          <w:color w:val="2B201C"/>
          <w:sz w:val="22"/>
        </w:rPr>
        <w:t>Moten</w:t>
      </w:r>
      <w:proofErr w:type="spellEnd"/>
      <w:r>
        <w:rPr>
          <w:color w:val="2B201C"/>
          <w:sz w:val="22"/>
        </w:rPr>
        <w:t xml:space="preserve"> has mentioned in </w:t>
      </w:r>
      <w:r w:rsidRPr="00452988">
        <w:rPr>
          <w:i/>
          <w:iCs/>
          <w:color w:val="2B201C"/>
          <w:sz w:val="22"/>
        </w:rPr>
        <w:t>Black and Blur</w:t>
      </w:r>
      <w:r>
        <w:rPr>
          <w:color w:val="2B201C"/>
          <w:sz w:val="22"/>
        </w:rPr>
        <w:t xml:space="preserve">? What kind of narrative does the lyrical element attempt to interrupt and what is it rooted in? What is the role of the Black radical tradition in this discussion? These questions that are rooted in but also go beyond discussions of methodology will be part of this presentation in an attempt to explore how the Black radical tradition has informed the fugitive experimental writing of </w:t>
      </w:r>
      <w:proofErr w:type="spellStart"/>
      <w:r w:rsidR="00452988">
        <w:rPr>
          <w:color w:val="2B201C"/>
          <w:sz w:val="22"/>
        </w:rPr>
        <w:t>Moten</w:t>
      </w:r>
      <w:proofErr w:type="spellEnd"/>
      <w:r>
        <w:rPr>
          <w:color w:val="2B201C"/>
          <w:sz w:val="22"/>
        </w:rPr>
        <w:t xml:space="preserve"> and continues to inform a </w:t>
      </w:r>
      <w:proofErr w:type="spellStart"/>
      <w:r>
        <w:rPr>
          <w:color w:val="2B201C"/>
          <w:sz w:val="22"/>
        </w:rPr>
        <w:t>decolonial</w:t>
      </w:r>
      <w:proofErr w:type="spellEnd"/>
      <w:r>
        <w:rPr>
          <w:color w:val="2B201C"/>
          <w:sz w:val="22"/>
        </w:rPr>
        <w:t xml:space="preserve"> approach towards the study of music and literature and beyond.</w:t>
      </w:r>
    </w:p>
    <w:p w14:paraId="23ADE4AD" w14:textId="77777777" w:rsidR="003F0957" w:rsidRDefault="001269E1">
      <w:r>
        <w:br w:type="page"/>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232"/>
        <w:gridCol w:w="2160"/>
        <w:gridCol w:w="2232"/>
        <w:gridCol w:w="2160"/>
      </w:tblGrid>
      <w:tr w:rsidR="003F0957" w14:paraId="05B0375D" w14:textId="77777777">
        <w:trPr>
          <w:trHeight w:hRule="exact" w:val="173"/>
          <w:jc w:val="center"/>
        </w:trPr>
        <w:tc>
          <w:tcPr>
            <w:tcW w:w="2232" w:type="dxa"/>
            <w:shd w:val="clear" w:color="auto" w:fill="7E3343"/>
          </w:tcPr>
          <w:p w14:paraId="612A942B" w14:textId="77777777" w:rsidR="003F0957" w:rsidRDefault="003F0957"/>
        </w:tc>
        <w:tc>
          <w:tcPr>
            <w:tcW w:w="2160" w:type="dxa"/>
            <w:shd w:val="clear" w:color="auto" w:fill="B85C38"/>
          </w:tcPr>
          <w:p w14:paraId="39830EDD" w14:textId="77777777" w:rsidR="003F0957" w:rsidRDefault="003F0957"/>
        </w:tc>
        <w:tc>
          <w:tcPr>
            <w:tcW w:w="2232" w:type="dxa"/>
            <w:shd w:val="clear" w:color="auto" w:fill="C58A2B"/>
          </w:tcPr>
          <w:p w14:paraId="73DDF492" w14:textId="77777777" w:rsidR="003F0957" w:rsidRDefault="003F0957"/>
        </w:tc>
        <w:tc>
          <w:tcPr>
            <w:tcW w:w="2160" w:type="dxa"/>
            <w:shd w:val="clear" w:color="auto" w:fill="6A4558"/>
          </w:tcPr>
          <w:p w14:paraId="24FC7F66" w14:textId="77777777" w:rsidR="003F0957" w:rsidRDefault="003F0957"/>
        </w:tc>
      </w:tr>
    </w:tbl>
    <w:p w14:paraId="54488CF4" w14:textId="77777777" w:rsidR="00E77872" w:rsidRDefault="00E77872">
      <w:pPr>
        <w:spacing w:after="60" w:line="240" w:lineRule="auto"/>
        <w:rPr>
          <w:rFonts w:ascii="EB Garamond" w:hAnsi="EB Garamond"/>
          <w:b/>
          <w:color w:val="2B201C"/>
          <w:sz w:val="33"/>
        </w:rPr>
      </w:pPr>
    </w:p>
    <w:p w14:paraId="7E543FE2" w14:textId="77777777" w:rsidR="003F0957" w:rsidRDefault="001269E1">
      <w:pPr>
        <w:spacing w:after="60" w:line="240" w:lineRule="auto"/>
      </w:pPr>
      <w:proofErr w:type="spellStart"/>
      <w:r>
        <w:rPr>
          <w:rFonts w:ascii="EB Garamond" w:hAnsi="EB Garamond"/>
          <w:b/>
          <w:color w:val="B85C38"/>
          <w:sz w:val="32"/>
        </w:rPr>
        <w:t>Magdalini</w:t>
      </w:r>
      <w:proofErr w:type="spellEnd"/>
      <w:r>
        <w:rPr>
          <w:rFonts w:ascii="EB Garamond" w:hAnsi="EB Garamond"/>
          <w:b/>
          <w:color w:val="B85C38"/>
          <w:sz w:val="32"/>
        </w:rPr>
        <w:t xml:space="preserve"> </w:t>
      </w:r>
      <w:proofErr w:type="spellStart"/>
      <w:r>
        <w:rPr>
          <w:rFonts w:ascii="EB Garamond" w:hAnsi="EB Garamond"/>
          <w:b/>
          <w:color w:val="B85C38"/>
          <w:sz w:val="32"/>
        </w:rPr>
        <w:t>Paraskeva</w:t>
      </w:r>
      <w:proofErr w:type="spellEnd"/>
    </w:p>
    <w:p w14:paraId="0123B9BE" w14:textId="77777777" w:rsidR="003F0957" w:rsidRDefault="001269E1">
      <w:pPr>
        <w:spacing w:after="320" w:line="264" w:lineRule="auto"/>
        <w:rPr>
          <w:b/>
          <w:i/>
          <w:color w:val="2B201C"/>
          <w:sz w:val="24"/>
        </w:rPr>
      </w:pPr>
      <w:r w:rsidRPr="00193974">
        <w:rPr>
          <w:b/>
          <w:color w:val="2B201C"/>
          <w:sz w:val="24"/>
        </w:rPr>
        <w:t xml:space="preserve">The Hole </w:t>
      </w:r>
      <w:proofErr w:type="gramStart"/>
      <w:r w:rsidRPr="00193974">
        <w:rPr>
          <w:b/>
          <w:color w:val="2B201C"/>
          <w:sz w:val="24"/>
        </w:rPr>
        <w:t>Between</w:t>
      </w:r>
      <w:proofErr w:type="gramEnd"/>
      <w:r w:rsidRPr="00193974">
        <w:rPr>
          <w:b/>
          <w:color w:val="2B201C"/>
          <w:sz w:val="24"/>
        </w:rPr>
        <w:t xml:space="preserve"> Pages: </w:t>
      </w:r>
      <w:r w:rsidR="00E77872">
        <w:rPr>
          <w:b/>
          <w:color w:val="2B201C"/>
          <w:sz w:val="24"/>
        </w:rPr>
        <w:t xml:space="preserve">Toward a Methodology of </w:t>
      </w:r>
      <w:r w:rsidRPr="00193974">
        <w:rPr>
          <w:b/>
          <w:color w:val="2B201C"/>
          <w:sz w:val="24"/>
        </w:rPr>
        <w:t xml:space="preserve">Textual Hospitality in J.M. Coetzee’s </w:t>
      </w:r>
      <w:r w:rsidRPr="00193974">
        <w:rPr>
          <w:b/>
          <w:i/>
          <w:color w:val="2B201C"/>
          <w:sz w:val="24"/>
        </w:rPr>
        <w:t>The Childhood of Jesus</w:t>
      </w:r>
    </w:p>
    <w:p w14:paraId="52994C38" w14:textId="77777777" w:rsidR="00E77872" w:rsidRPr="00E77872" w:rsidRDefault="00E77872">
      <w:pPr>
        <w:spacing w:after="0" w:line="293" w:lineRule="auto"/>
        <w:jc w:val="both"/>
        <w:rPr>
          <w:sz w:val="22"/>
        </w:rPr>
      </w:pPr>
      <w:r w:rsidRPr="00E77872">
        <w:rPr>
          <w:sz w:val="22"/>
        </w:rPr>
        <w:t xml:space="preserve">Introducing a current issue emerging from my research into textual hospitality pertaining to the ways a text accommodates or sustains </w:t>
      </w:r>
      <w:proofErr w:type="spellStart"/>
      <w:r w:rsidRPr="00E77872">
        <w:rPr>
          <w:sz w:val="22"/>
        </w:rPr>
        <w:t>alterity</w:t>
      </w:r>
      <w:proofErr w:type="spellEnd"/>
      <w:r w:rsidRPr="00E77872">
        <w:rPr>
          <w:sz w:val="22"/>
        </w:rPr>
        <w:t xml:space="preserve"> without reducing it to a theme or presuming a specific reader response, I approach the concept of textual hospitality as a developing analytical framework while considering its relationship to pre-existing accounts of literary hospitality and the limitations of post-</w:t>
      </w:r>
      <w:proofErr w:type="spellStart"/>
      <w:r w:rsidRPr="00E77872">
        <w:rPr>
          <w:sz w:val="22"/>
        </w:rPr>
        <w:t>structuralist</w:t>
      </w:r>
      <w:proofErr w:type="spellEnd"/>
      <w:r w:rsidRPr="00E77872">
        <w:rPr>
          <w:sz w:val="22"/>
        </w:rPr>
        <w:t xml:space="preserve"> configurations of textual meaning. Building upon Jacques Derrida’s critique of literature and structural centers, Roland Barthes’s account of post-structural text production, and Derek </w:t>
      </w:r>
      <w:proofErr w:type="spellStart"/>
      <w:r w:rsidRPr="00E77872">
        <w:rPr>
          <w:sz w:val="22"/>
        </w:rPr>
        <w:t>Attridge’s</w:t>
      </w:r>
      <w:proofErr w:type="spellEnd"/>
      <w:r w:rsidRPr="00E77872">
        <w:rPr>
          <w:sz w:val="22"/>
        </w:rPr>
        <w:t xml:space="preserve"> understanding of literary reading, the thesis currently considers how post-</w:t>
      </w:r>
      <w:proofErr w:type="spellStart"/>
      <w:r w:rsidRPr="00E77872">
        <w:rPr>
          <w:sz w:val="22"/>
        </w:rPr>
        <w:t>structuralist</w:t>
      </w:r>
      <w:proofErr w:type="spellEnd"/>
      <w:r w:rsidRPr="00E77872">
        <w:rPr>
          <w:sz w:val="22"/>
        </w:rPr>
        <w:t xml:space="preserve"> approaches to literary meaning may inform </w:t>
      </w:r>
      <w:r>
        <w:rPr>
          <w:sz w:val="22"/>
        </w:rPr>
        <w:t xml:space="preserve">– </w:t>
      </w:r>
      <w:r w:rsidRPr="00E77872">
        <w:rPr>
          <w:sz w:val="22"/>
        </w:rPr>
        <w:t>or leave unresolved</w:t>
      </w:r>
      <w:r>
        <w:rPr>
          <w:sz w:val="22"/>
        </w:rPr>
        <w:t xml:space="preserve"> –</w:t>
      </w:r>
      <w:r w:rsidRPr="00E77872">
        <w:rPr>
          <w:sz w:val="22"/>
        </w:rPr>
        <w:t xml:space="preserve"> a methodology of textual hospitality centering the question of whether a text renders itself hospitable if textual aesthetics of meaning remain relational and never fully secured. J.M. Coetzee’s </w:t>
      </w:r>
      <w:r w:rsidRPr="00E77872">
        <w:rPr>
          <w:i/>
          <w:iCs/>
          <w:sz w:val="22"/>
        </w:rPr>
        <w:t>The Childhood of Jesus</w:t>
      </w:r>
      <w:r w:rsidRPr="00E77872">
        <w:rPr>
          <w:sz w:val="22"/>
        </w:rPr>
        <w:t xml:space="preserve"> provides a testing ground for this question. The relationship between David and </w:t>
      </w:r>
      <w:proofErr w:type="spellStart"/>
      <w:r w:rsidRPr="00E77872">
        <w:rPr>
          <w:sz w:val="22"/>
        </w:rPr>
        <w:t>Simón</w:t>
      </w:r>
      <w:proofErr w:type="spellEnd"/>
      <w:r w:rsidRPr="00E77872">
        <w:rPr>
          <w:sz w:val="22"/>
        </w:rPr>
        <w:t xml:space="preserve"> foregrounds competing approaches to the aesthetics of language, interpretation, and understanding, raising the question of whether relation requires the absolute resolution of difference. David’s engagement with </w:t>
      </w:r>
      <w:r w:rsidRPr="00E77872">
        <w:rPr>
          <w:i/>
          <w:iCs/>
          <w:sz w:val="22"/>
        </w:rPr>
        <w:t>Don Quixote</w:t>
      </w:r>
      <w:r w:rsidRPr="00E77872">
        <w:rPr>
          <w:sz w:val="22"/>
        </w:rPr>
        <w:t xml:space="preserve"> offers a second point of entry through which I consider how different modes of reading and interpretive logic interact with canonical expectations of meaning generation. Read alongside David and </w:t>
      </w:r>
      <w:proofErr w:type="spellStart"/>
      <w:r w:rsidRPr="00E77872">
        <w:rPr>
          <w:sz w:val="22"/>
        </w:rPr>
        <w:t>Simón’s</w:t>
      </w:r>
      <w:proofErr w:type="spellEnd"/>
      <w:r w:rsidRPr="00E77872">
        <w:rPr>
          <w:sz w:val="22"/>
        </w:rPr>
        <w:t xml:space="preserve"> relationship, the two paradigms allow for an investigation of how the novel stages encounters of contending conceptualizations and mechanisms of textual hospitality, and whether its textual structures permit sustaining difference without rendering relation impossible.</w:t>
      </w:r>
    </w:p>
    <w:p w14:paraId="5E0DE1E6" w14:textId="77777777" w:rsidR="003F0957" w:rsidRDefault="001269E1">
      <w:r>
        <w:br w:type="page"/>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232"/>
        <w:gridCol w:w="2160"/>
        <w:gridCol w:w="2232"/>
        <w:gridCol w:w="2160"/>
      </w:tblGrid>
      <w:tr w:rsidR="003F0957" w14:paraId="6EA11955" w14:textId="77777777">
        <w:trPr>
          <w:trHeight w:hRule="exact" w:val="173"/>
          <w:jc w:val="center"/>
        </w:trPr>
        <w:tc>
          <w:tcPr>
            <w:tcW w:w="2232" w:type="dxa"/>
            <w:shd w:val="clear" w:color="auto" w:fill="7E3343"/>
          </w:tcPr>
          <w:p w14:paraId="55A02CE3" w14:textId="77777777" w:rsidR="003F0957" w:rsidRDefault="003F0957"/>
        </w:tc>
        <w:tc>
          <w:tcPr>
            <w:tcW w:w="2160" w:type="dxa"/>
            <w:shd w:val="clear" w:color="auto" w:fill="B85C38"/>
          </w:tcPr>
          <w:p w14:paraId="7CE6F5B9" w14:textId="77777777" w:rsidR="003F0957" w:rsidRDefault="003F0957"/>
        </w:tc>
        <w:tc>
          <w:tcPr>
            <w:tcW w:w="2232" w:type="dxa"/>
            <w:shd w:val="clear" w:color="auto" w:fill="C58A2B"/>
          </w:tcPr>
          <w:p w14:paraId="436DC4AD" w14:textId="77777777" w:rsidR="003F0957" w:rsidRDefault="003F0957"/>
        </w:tc>
        <w:tc>
          <w:tcPr>
            <w:tcW w:w="2160" w:type="dxa"/>
            <w:shd w:val="clear" w:color="auto" w:fill="6A4558"/>
          </w:tcPr>
          <w:p w14:paraId="651EEE19" w14:textId="77777777" w:rsidR="003F0957" w:rsidRDefault="003F0957"/>
        </w:tc>
      </w:tr>
    </w:tbl>
    <w:p w14:paraId="3555D36E" w14:textId="77777777" w:rsidR="00E77872" w:rsidRDefault="00E77872">
      <w:pPr>
        <w:spacing w:after="60" w:line="240" w:lineRule="auto"/>
        <w:rPr>
          <w:rFonts w:ascii="EB Garamond" w:hAnsi="EB Garamond"/>
          <w:b/>
          <w:color w:val="2B201C"/>
          <w:sz w:val="33"/>
        </w:rPr>
      </w:pPr>
    </w:p>
    <w:p w14:paraId="389CFF0C" w14:textId="77777777" w:rsidR="003F0957" w:rsidRDefault="001269E1">
      <w:pPr>
        <w:spacing w:after="60" w:line="240" w:lineRule="auto"/>
      </w:pPr>
      <w:proofErr w:type="spellStart"/>
      <w:r>
        <w:rPr>
          <w:rFonts w:ascii="EB Garamond" w:hAnsi="EB Garamond"/>
          <w:b/>
          <w:color w:val="B85C38"/>
          <w:sz w:val="32"/>
        </w:rPr>
        <w:t>Mathilde</w:t>
      </w:r>
      <w:proofErr w:type="spellEnd"/>
      <w:r>
        <w:rPr>
          <w:rFonts w:ascii="EB Garamond" w:hAnsi="EB Garamond"/>
          <w:b/>
          <w:color w:val="B85C38"/>
          <w:sz w:val="32"/>
        </w:rPr>
        <w:t xml:space="preserve"> </w:t>
      </w:r>
      <w:proofErr w:type="spellStart"/>
      <w:r>
        <w:rPr>
          <w:rFonts w:ascii="EB Garamond" w:hAnsi="EB Garamond"/>
          <w:b/>
          <w:color w:val="B85C38"/>
          <w:sz w:val="32"/>
        </w:rPr>
        <w:t>Pyrli</w:t>
      </w:r>
      <w:proofErr w:type="spellEnd"/>
    </w:p>
    <w:p w14:paraId="79F15243" w14:textId="23216D09" w:rsidR="003F0957" w:rsidRDefault="001269E1">
      <w:pPr>
        <w:spacing w:after="320" w:line="264" w:lineRule="auto"/>
      </w:pPr>
      <w:r>
        <w:rPr>
          <w:b/>
          <w:color w:val="2B201C"/>
          <w:sz w:val="24"/>
        </w:rPr>
        <w:t>“I should be as sorry to live in the South with a constitution as in the North without one.” The Fear of Republicanism in Early Nineteenth-Century British Representations of the Greek National Character</w:t>
      </w:r>
    </w:p>
    <w:p w14:paraId="39EDCB8D" w14:textId="77777777" w:rsidR="003F0957" w:rsidRDefault="001269E1">
      <w:pPr>
        <w:spacing w:after="0" w:line="293" w:lineRule="auto"/>
        <w:jc w:val="both"/>
      </w:pPr>
      <w:r>
        <w:rPr>
          <w:color w:val="2B201C"/>
          <w:sz w:val="22"/>
        </w:rPr>
        <w:t xml:space="preserve">The bounties of the southern climates that palliate the evils of despotism and transform the cruel bonds of political slavery into golden chains appears frequently in discussions on the condition of the Greeks under the Ottoman rule, especially those opposing the Greek Revolution. The climate has made them lazy, they argue; age-old slavery has absolutely degraded them, the grossest superstition has blinded them, and their “southern” nature will certainly blight their prospects as an independent nation. Early nineteenth-century British representations of the Greek national character, across genres, tend to draw on philosophical discussions on climate, its effect upon national character, and its correspondence to a suitable type of government. Crucially, though, they are also informed by the watershed event of the French Revolution and its (feared) impact upon the social and political establishment of Britain. This presentation will briefly examine Sir William </w:t>
      </w:r>
      <w:proofErr w:type="spellStart"/>
      <w:r>
        <w:rPr>
          <w:color w:val="2B201C"/>
          <w:sz w:val="22"/>
        </w:rPr>
        <w:t>Gell’s</w:t>
      </w:r>
      <w:proofErr w:type="spellEnd"/>
      <w:r>
        <w:rPr>
          <w:color w:val="2B201C"/>
          <w:sz w:val="22"/>
        </w:rPr>
        <w:t xml:space="preserve"> memoir of a tour in the </w:t>
      </w:r>
      <w:proofErr w:type="spellStart"/>
      <w:r>
        <w:rPr>
          <w:color w:val="2B201C"/>
          <w:sz w:val="22"/>
        </w:rPr>
        <w:t>Morea</w:t>
      </w:r>
      <w:proofErr w:type="spellEnd"/>
      <w:r>
        <w:rPr>
          <w:color w:val="2B201C"/>
          <w:sz w:val="22"/>
        </w:rPr>
        <w:t xml:space="preserve"> (1823) alongside Charles </w:t>
      </w:r>
      <w:proofErr w:type="spellStart"/>
      <w:r>
        <w:rPr>
          <w:color w:val="2B201C"/>
          <w:sz w:val="22"/>
        </w:rPr>
        <w:t>Brinsley</w:t>
      </w:r>
      <w:proofErr w:type="spellEnd"/>
      <w:r>
        <w:rPr>
          <w:color w:val="2B201C"/>
          <w:sz w:val="22"/>
        </w:rPr>
        <w:t xml:space="preserve"> Sheridan’s introduction to Claude </w:t>
      </w:r>
      <w:proofErr w:type="spellStart"/>
      <w:r>
        <w:rPr>
          <w:color w:val="2B201C"/>
          <w:sz w:val="22"/>
        </w:rPr>
        <w:t>Fauriel’s</w:t>
      </w:r>
      <w:proofErr w:type="spellEnd"/>
      <w:r>
        <w:rPr>
          <w:color w:val="2B201C"/>
          <w:sz w:val="22"/>
        </w:rPr>
        <w:t xml:space="preserve"> collection of Greek folk songs (1825). The authors argue from contending positions and their texts – a travelogue and an introduction to a folk song collection – are politically charged, as the authors make clear. The presentation will highlight the themes, ideas, and narrative devices that are employed to draw the national character of the Greeks, especially in connection to their ability to gain and retain their independence, in short, to act as conscious and responsible political subjects. At the same time, it will inquire into the use of the Greek paradigm (positively or negatively charged) within a British context.</w:t>
      </w:r>
    </w:p>
    <w:p w14:paraId="72A6B9C2" w14:textId="77777777" w:rsidR="003F0957" w:rsidRDefault="001269E1">
      <w:r>
        <w:br w:type="page"/>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232"/>
        <w:gridCol w:w="2160"/>
        <w:gridCol w:w="2232"/>
        <w:gridCol w:w="2160"/>
      </w:tblGrid>
      <w:tr w:rsidR="003F0957" w14:paraId="5FF156CF" w14:textId="77777777">
        <w:trPr>
          <w:trHeight w:hRule="exact" w:val="173"/>
          <w:jc w:val="center"/>
        </w:trPr>
        <w:tc>
          <w:tcPr>
            <w:tcW w:w="2232" w:type="dxa"/>
            <w:shd w:val="clear" w:color="auto" w:fill="7E3343"/>
          </w:tcPr>
          <w:p w14:paraId="01314A01" w14:textId="77777777" w:rsidR="003F0957" w:rsidRDefault="003F0957"/>
        </w:tc>
        <w:tc>
          <w:tcPr>
            <w:tcW w:w="2160" w:type="dxa"/>
            <w:shd w:val="clear" w:color="auto" w:fill="B85C38"/>
          </w:tcPr>
          <w:p w14:paraId="5AF0CC06" w14:textId="77777777" w:rsidR="003F0957" w:rsidRDefault="003F0957"/>
        </w:tc>
        <w:tc>
          <w:tcPr>
            <w:tcW w:w="2232" w:type="dxa"/>
            <w:shd w:val="clear" w:color="auto" w:fill="C58A2B"/>
          </w:tcPr>
          <w:p w14:paraId="62CFDCD8" w14:textId="77777777" w:rsidR="003F0957" w:rsidRDefault="003F0957"/>
        </w:tc>
        <w:tc>
          <w:tcPr>
            <w:tcW w:w="2160" w:type="dxa"/>
            <w:shd w:val="clear" w:color="auto" w:fill="6A4558"/>
          </w:tcPr>
          <w:p w14:paraId="5B582787" w14:textId="77777777" w:rsidR="003F0957" w:rsidRDefault="003F0957"/>
        </w:tc>
      </w:tr>
    </w:tbl>
    <w:p w14:paraId="489C2B33" w14:textId="77777777" w:rsidR="00E77872" w:rsidRDefault="00E77872">
      <w:pPr>
        <w:spacing w:after="60" w:line="240" w:lineRule="auto"/>
        <w:rPr>
          <w:rFonts w:ascii="EB Garamond" w:hAnsi="EB Garamond"/>
          <w:b/>
          <w:color w:val="2B201C"/>
          <w:sz w:val="33"/>
        </w:rPr>
      </w:pPr>
    </w:p>
    <w:p w14:paraId="2A3221DD" w14:textId="77777777" w:rsidR="003F0957" w:rsidRDefault="001269E1">
      <w:pPr>
        <w:spacing w:after="60" w:line="240" w:lineRule="auto"/>
      </w:pPr>
      <w:proofErr w:type="spellStart"/>
      <w:r>
        <w:rPr>
          <w:rFonts w:ascii="EB Garamond" w:hAnsi="EB Garamond"/>
          <w:b/>
          <w:color w:val="B85C38"/>
          <w:sz w:val="32"/>
        </w:rPr>
        <w:t>Caterina</w:t>
      </w:r>
      <w:proofErr w:type="spellEnd"/>
      <w:r>
        <w:rPr>
          <w:rFonts w:ascii="EB Garamond" w:hAnsi="EB Garamond"/>
          <w:b/>
          <w:color w:val="B85C38"/>
          <w:sz w:val="32"/>
        </w:rPr>
        <w:t xml:space="preserve"> </w:t>
      </w:r>
      <w:proofErr w:type="spellStart"/>
      <w:r>
        <w:rPr>
          <w:rFonts w:ascii="EB Garamond" w:hAnsi="EB Garamond"/>
          <w:b/>
          <w:color w:val="B85C38"/>
          <w:sz w:val="32"/>
        </w:rPr>
        <w:t>Stamou</w:t>
      </w:r>
      <w:proofErr w:type="spellEnd"/>
    </w:p>
    <w:p w14:paraId="6049E90F" w14:textId="77777777" w:rsidR="003F0957" w:rsidRDefault="001269E1">
      <w:pPr>
        <w:spacing w:after="320" w:line="264" w:lineRule="auto"/>
      </w:pPr>
      <w:r>
        <w:rPr>
          <w:b/>
          <w:color w:val="2B201C"/>
          <w:sz w:val="24"/>
        </w:rPr>
        <w:t>Reparative Genealogy and Epistemology: A Brief Theoretical Overview</w:t>
      </w:r>
    </w:p>
    <w:p w14:paraId="0E7ED31F" w14:textId="77777777" w:rsidR="003F0957" w:rsidRDefault="001269E1">
      <w:pPr>
        <w:spacing w:after="0" w:line="293" w:lineRule="auto"/>
        <w:jc w:val="both"/>
      </w:pPr>
      <w:r>
        <w:rPr>
          <w:color w:val="2B201C"/>
          <w:sz w:val="22"/>
        </w:rPr>
        <w:t xml:space="preserve">In this presentation, I will focus on the theoretical framework of my thesis, which constitutes the analysis developed in its first chapter. I will outline how the concept of repair operates as the epistemological and methodological entry point of my research, through which I attempt to advance a critical analysis in relation to experimental poetics, and politics. To set the ground for the political and ethical overview of repair as oppositional to imperial, </w:t>
      </w:r>
      <w:proofErr w:type="spellStart"/>
      <w:r>
        <w:rPr>
          <w:color w:val="2B201C"/>
          <w:sz w:val="22"/>
        </w:rPr>
        <w:t>extractivist</w:t>
      </w:r>
      <w:proofErr w:type="spellEnd"/>
      <w:r>
        <w:rPr>
          <w:color w:val="2B201C"/>
          <w:sz w:val="22"/>
        </w:rPr>
        <w:t xml:space="preserve">, and neoliberal systems and tactics, I will summarize the comparative analysis of the concept which brings into dialogue feminist, anticolonial, and abolitionist lineages. With a particular focus on the works of Eve </w:t>
      </w:r>
      <w:proofErr w:type="spellStart"/>
      <w:r>
        <w:rPr>
          <w:color w:val="2B201C"/>
          <w:sz w:val="22"/>
        </w:rPr>
        <w:t>Kosofsky</w:t>
      </w:r>
      <w:proofErr w:type="spellEnd"/>
      <w:r>
        <w:rPr>
          <w:color w:val="2B201C"/>
          <w:sz w:val="22"/>
        </w:rPr>
        <w:t xml:space="preserve"> Sedgwick, Frantz Fanon, Fred </w:t>
      </w:r>
      <w:proofErr w:type="spellStart"/>
      <w:r>
        <w:rPr>
          <w:color w:val="2B201C"/>
          <w:sz w:val="22"/>
        </w:rPr>
        <w:t>Moten</w:t>
      </w:r>
      <w:proofErr w:type="spellEnd"/>
      <w:r>
        <w:rPr>
          <w:color w:val="2B201C"/>
          <w:sz w:val="22"/>
        </w:rPr>
        <w:t xml:space="preserve">, and </w:t>
      </w:r>
      <w:proofErr w:type="spellStart"/>
      <w:r>
        <w:rPr>
          <w:color w:val="2B201C"/>
          <w:sz w:val="22"/>
        </w:rPr>
        <w:t>Mariame</w:t>
      </w:r>
      <w:proofErr w:type="spellEnd"/>
      <w:r>
        <w:rPr>
          <w:color w:val="2B201C"/>
          <w:sz w:val="22"/>
        </w:rPr>
        <w:t xml:space="preserve"> </w:t>
      </w:r>
      <w:proofErr w:type="spellStart"/>
      <w:r>
        <w:rPr>
          <w:color w:val="2B201C"/>
          <w:sz w:val="22"/>
        </w:rPr>
        <w:t>Kaba</w:t>
      </w:r>
      <w:proofErr w:type="spellEnd"/>
      <w:r>
        <w:rPr>
          <w:color w:val="2B201C"/>
          <w:sz w:val="22"/>
        </w:rPr>
        <w:t xml:space="preserve">, I am to critically explore repair as a method of critical inquiry, political praxis, and poetics that reframes reparation as an emergent, intersectional, and holistic practice. My theoretical overview also includes a critical exploration of art and poetry as method, for which I look at the work of poet, and scholar </w:t>
      </w:r>
      <w:proofErr w:type="spellStart"/>
      <w:r>
        <w:rPr>
          <w:color w:val="2B201C"/>
          <w:sz w:val="22"/>
        </w:rPr>
        <w:t>Ammiel</w:t>
      </w:r>
      <w:proofErr w:type="spellEnd"/>
      <w:r>
        <w:rPr>
          <w:color w:val="2B201C"/>
          <w:sz w:val="22"/>
        </w:rPr>
        <w:t xml:space="preserve"> </w:t>
      </w:r>
      <w:proofErr w:type="spellStart"/>
      <w:r>
        <w:rPr>
          <w:color w:val="2B201C"/>
          <w:sz w:val="22"/>
        </w:rPr>
        <w:t>Alcalay</w:t>
      </w:r>
      <w:proofErr w:type="spellEnd"/>
      <w:r>
        <w:rPr>
          <w:color w:val="2B201C"/>
          <w:sz w:val="22"/>
        </w:rPr>
        <w:t xml:space="preserve"> to further investigate the premises of this position. </w:t>
      </w:r>
      <w:proofErr w:type="spellStart"/>
      <w:r>
        <w:rPr>
          <w:color w:val="2B201C"/>
          <w:sz w:val="22"/>
        </w:rPr>
        <w:t>Alcalay’s</w:t>
      </w:r>
      <w:proofErr w:type="spellEnd"/>
      <w:r>
        <w:rPr>
          <w:color w:val="2B201C"/>
          <w:sz w:val="22"/>
        </w:rPr>
        <w:t xml:space="preserve"> multifaceted oeuvre allows for a profound understanding of the intrinsic intertwinements between poetics and politics, providing several of the methodological tools for the analysis of artistic and poetic paradigms of the next chapters.</w:t>
      </w:r>
    </w:p>
    <w:p w14:paraId="32760A9A" w14:textId="77777777" w:rsidR="003F0957" w:rsidRDefault="001269E1">
      <w:r>
        <w:br w:type="page"/>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232"/>
        <w:gridCol w:w="2160"/>
        <w:gridCol w:w="2232"/>
        <w:gridCol w:w="2160"/>
      </w:tblGrid>
      <w:tr w:rsidR="003F0957" w14:paraId="6A573C31" w14:textId="77777777">
        <w:trPr>
          <w:trHeight w:hRule="exact" w:val="173"/>
          <w:jc w:val="center"/>
        </w:trPr>
        <w:tc>
          <w:tcPr>
            <w:tcW w:w="2232" w:type="dxa"/>
            <w:shd w:val="clear" w:color="auto" w:fill="7E3343"/>
          </w:tcPr>
          <w:p w14:paraId="75819494" w14:textId="77777777" w:rsidR="003F0957" w:rsidRDefault="003F0957"/>
        </w:tc>
        <w:tc>
          <w:tcPr>
            <w:tcW w:w="2160" w:type="dxa"/>
            <w:shd w:val="clear" w:color="auto" w:fill="B85C38"/>
          </w:tcPr>
          <w:p w14:paraId="072DDB6B" w14:textId="77777777" w:rsidR="003F0957" w:rsidRDefault="003F0957"/>
        </w:tc>
        <w:tc>
          <w:tcPr>
            <w:tcW w:w="2232" w:type="dxa"/>
            <w:shd w:val="clear" w:color="auto" w:fill="C58A2B"/>
          </w:tcPr>
          <w:p w14:paraId="05474FD9" w14:textId="77777777" w:rsidR="003F0957" w:rsidRDefault="003F0957"/>
        </w:tc>
        <w:tc>
          <w:tcPr>
            <w:tcW w:w="2160" w:type="dxa"/>
            <w:shd w:val="clear" w:color="auto" w:fill="6A4558"/>
          </w:tcPr>
          <w:p w14:paraId="1BCEDF3F" w14:textId="77777777" w:rsidR="003F0957" w:rsidRDefault="003F0957"/>
        </w:tc>
      </w:tr>
    </w:tbl>
    <w:p w14:paraId="2FAD0881" w14:textId="77777777" w:rsidR="00E77872" w:rsidRDefault="00E77872">
      <w:pPr>
        <w:spacing w:after="60" w:line="240" w:lineRule="auto"/>
        <w:rPr>
          <w:rFonts w:ascii="EB Garamond" w:hAnsi="EB Garamond"/>
          <w:b/>
          <w:color w:val="B85C38"/>
          <w:sz w:val="32"/>
        </w:rPr>
      </w:pPr>
    </w:p>
    <w:p w14:paraId="1C2C1B80" w14:textId="77777777" w:rsidR="003F0957" w:rsidRDefault="001269E1">
      <w:pPr>
        <w:spacing w:after="60" w:line="240" w:lineRule="auto"/>
      </w:pPr>
      <w:proofErr w:type="spellStart"/>
      <w:r>
        <w:rPr>
          <w:rFonts w:ascii="EB Garamond" w:hAnsi="EB Garamond"/>
          <w:b/>
          <w:color w:val="B85C38"/>
          <w:sz w:val="32"/>
        </w:rPr>
        <w:t>Despoina</w:t>
      </w:r>
      <w:proofErr w:type="spellEnd"/>
      <w:r>
        <w:rPr>
          <w:rFonts w:ascii="EB Garamond" w:hAnsi="EB Garamond"/>
          <w:b/>
          <w:color w:val="B85C38"/>
          <w:sz w:val="32"/>
        </w:rPr>
        <w:t xml:space="preserve"> </w:t>
      </w:r>
      <w:proofErr w:type="spellStart"/>
      <w:r>
        <w:rPr>
          <w:rFonts w:ascii="EB Garamond" w:hAnsi="EB Garamond"/>
          <w:b/>
          <w:color w:val="B85C38"/>
          <w:sz w:val="32"/>
        </w:rPr>
        <w:t>Tantsiopoulou</w:t>
      </w:r>
      <w:proofErr w:type="spellEnd"/>
    </w:p>
    <w:p w14:paraId="6327C0C9" w14:textId="77777777" w:rsidR="003F0957" w:rsidRPr="00193974" w:rsidRDefault="001269E1">
      <w:pPr>
        <w:spacing w:after="320" w:line="264" w:lineRule="auto"/>
        <w:rPr>
          <w:b/>
        </w:rPr>
      </w:pPr>
      <w:r w:rsidRPr="00193974">
        <w:rPr>
          <w:b/>
          <w:color w:val="2B201C"/>
          <w:sz w:val="24"/>
        </w:rPr>
        <w:t xml:space="preserve">The Campus is Hell: Academia, Time and the Freudian </w:t>
      </w:r>
      <w:proofErr w:type="spellStart"/>
      <w:r w:rsidRPr="00671E76">
        <w:rPr>
          <w:b/>
          <w:i/>
          <w:iCs/>
          <w:color w:val="2B201C"/>
          <w:sz w:val="24"/>
        </w:rPr>
        <w:t>Unheimlich</w:t>
      </w:r>
      <w:proofErr w:type="spellEnd"/>
      <w:r w:rsidRPr="00193974">
        <w:rPr>
          <w:b/>
          <w:color w:val="2B201C"/>
          <w:sz w:val="24"/>
        </w:rPr>
        <w:t xml:space="preserve"> in Rebecca F. </w:t>
      </w:r>
      <w:proofErr w:type="spellStart"/>
      <w:r w:rsidRPr="00193974">
        <w:rPr>
          <w:b/>
          <w:color w:val="2B201C"/>
          <w:sz w:val="24"/>
        </w:rPr>
        <w:t>Kuang’s</w:t>
      </w:r>
      <w:proofErr w:type="spellEnd"/>
      <w:r w:rsidRPr="00193974">
        <w:rPr>
          <w:b/>
          <w:color w:val="2B201C"/>
          <w:sz w:val="24"/>
        </w:rPr>
        <w:t xml:space="preserve"> </w:t>
      </w:r>
      <w:proofErr w:type="spellStart"/>
      <w:r w:rsidRPr="00193974">
        <w:rPr>
          <w:b/>
          <w:i/>
          <w:color w:val="2B201C"/>
          <w:sz w:val="24"/>
        </w:rPr>
        <w:t>Katabasis</w:t>
      </w:r>
      <w:proofErr w:type="spellEnd"/>
    </w:p>
    <w:p w14:paraId="071BBD35" w14:textId="77777777" w:rsidR="003F0957" w:rsidRDefault="001269E1">
      <w:pPr>
        <w:spacing w:after="0" w:line="293" w:lineRule="auto"/>
        <w:jc w:val="both"/>
      </w:pPr>
      <w:r>
        <w:rPr>
          <w:color w:val="2B201C"/>
          <w:sz w:val="22"/>
        </w:rPr>
        <w:t xml:space="preserve">In her 2025 novel, Rebecca F. </w:t>
      </w:r>
      <w:proofErr w:type="spellStart"/>
      <w:r>
        <w:rPr>
          <w:color w:val="2B201C"/>
          <w:sz w:val="22"/>
        </w:rPr>
        <w:t>Kuang</w:t>
      </w:r>
      <w:proofErr w:type="spellEnd"/>
      <w:r>
        <w:rPr>
          <w:color w:val="2B201C"/>
          <w:sz w:val="22"/>
        </w:rPr>
        <w:t xml:space="preserve"> has her two </w:t>
      </w:r>
      <w:proofErr w:type="gramStart"/>
      <w:r>
        <w:rPr>
          <w:color w:val="2B201C"/>
          <w:sz w:val="22"/>
        </w:rPr>
        <w:t>protagonists,</w:t>
      </w:r>
      <w:proofErr w:type="gramEnd"/>
      <w:r>
        <w:rPr>
          <w:color w:val="2B201C"/>
          <w:sz w:val="22"/>
        </w:rPr>
        <w:t xml:space="preserve"> Cambridge PhD candidates Alice Law and Peter Murdoch (named after two literary children who famously wander into dangerous </w:t>
      </w:r>
      <w:r w:rsidR="00DA3437">
        <w:rPr>
          <w:color w:val="2B201C"/>
          <w:sz w:val="22"/>
        </w:rPr>
        <w:t>–</w:t>
      </w:r>
      <w:r>
        <w:rPr>
          <w:color w:val="2B201C"/>
          <w:sz w:val="22"/>
        </w:rPr>
        <w:t xml:space="preserve"> albeit fantastical – worlds to negotiate the horrors of adulthood) go through Hell to retrieve their thesis advisor, tyrannical and manipulative Professor Jacob Grimes, after his gruesome, dubiously accidental death. The rescue mission is their last hope: Grimes is their ticket to matriculation and professional academic pursuits. Hell, though, is campus-shaped, populated by Shades who roam its Eight Courts until eligible for reincarnation. Alice and Peter’s trek through them is littered with an amalgamation of literary, religious and philosophical texts to a frightful result: the protagonists navigate Hell based on ancient sources, the past forming their present while ensnaring them in a vain chase for a precarious future. Time is twisted by the university that demands the sacrifice of their presents but offers them no certainty despite its initial promises of financial and professional security. Freud’s </w:t>
      </w:r>
      <w:proofErr w:type="spellStart"/>
      <w:r w:rsidR="00671E76">
        <w:rPr>
          <w:i/>
          <w:iCs/>
          <w:color w:val="2B201C"/>
          <w:sz w:val="22"/>
        </w:rPr>
        <w:t>U</w:t>
      </w:r>
      <w:r w:rsidRPr="00671E76">
        <w:rPr>
          <w:i/>
          <w:iCs/>
          <w:color w:val="2B201C"/>
          <w:sz w:val="22"/>
        </w:rPr>
        <w:t>nheimlich</w:t>
      </w:r>
      <w:proofErr w:type="spellEnd"/>
      <w:r>
        <w:rPr>
          <w:color w:val="2B201C"/>
          <w:sz w:val="22"/>
        </w:rPr>
        <w:t xml:space="preserve">, I argue, is employed in the novel not only through the doppelgänger motif, but also the horror created in the reader by “unearthing” what is meant to stay hidden in a curious mélange of worlds where every choice is the wrong one. I argue that the mirroring of the two worlds – the academia they force themselves through and the Hell they are trying to escape – is </w:t>
      </w:r>
      <w:proofErr w:type="spellStart"/>
      <w:r>
        <w:rPr>
          <w:color w:val="2B201C"/>
          <w:sz w:val="22"/>
        </w:rPr>
        <w:t>Kuang’s</w:t>
      </w:r>
      <w:proofErr w:type="spellEnd"/>
      <w:r>
        <w:rPr>
          <w:color w:val="2B201C"/>
          <w:sz w:val="22"/>
        </w:rPr>
        <w:t xml:space="preserve"> comment on contemporary tertiary education so evidently approximating a </w:t>
      </w:r>
      <w:proofErr w:type="spellStart"/>
      <w:r>
        <w:rPr>
          <w:color w:val="2B201C"/>
          <w:sz w:val="22"/>
        </w:rPr>
        <w:t>hellscape</w:t>
      </w:r>
      <w:proofErr w:type="spellEnd"/>
      <w:r>
        <w:rPr>
          <w:color w:val="2B201C"/>
          <w:sz w:val="22"/>
        </w:rPr>
        <w:t xml:space="preserve"> that the characters need to either reshape it through their research and academic profiles or completely dismantle it. </w:t>
      </w:r>
      <w:proofErr w:type="spellStart"/>
      <w:r>
        <w:rPr>
          <w:i/>
          <w:color w:val="2B201C"/>
          <w:sz w:val="22"/>
        </w:rPr>
        <w:t>Katabasis</w:t>
      </w:r>
      <w:proofErr w:type="spellEnd"/>
      <w:r>
        <w:rPr>
          <w:color w:val="2B201C"/>
          <w:sz w:val="22"/>
        </w:rPr>
        <w:t xml:space="preserve"> sheds light on the cruelty of elitist academia that glorifies the past at the expense of the futures of its population.</w:t>
      </w:r>
    </w:p>
    <w:sectPr w:rsidR="003F0957" w:rsidSect="00606E55">
      <w:footerReference w:type="default" r:id="rId11"/>
      <w:pgSz w:w="11905" w:h="16838"/>
      <w:pgMar w:top="936" w:right="1008" w:bottom="936" w:left="1008" w:header="720" w:footer="720" w:gutter="0"/>
      <w:pgBorders w:offsetFrom="page">
        <w:top w:val="single" w:sz="10" w:space="20" w:color="EADCCB"/>
        <w:left w:val="single" w:sz="10" w:space="20" w:color="EADCCB"/>
        <w:bottom w:val="single" w:sz="10" w:space="20" w:color="EADCCB"/>
        <w:right w:val="single" w:sz="10" w:space="20" w:color="EADCCB"/>
      </w:pgBorders>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CC7D69" w14:textId="77777777" w:rsidR="00213E83" w:rsidRDefault="00213E83">
      <w:pPr>
        <w:spacing w:after="0" w:line="240" w:lineRule="auto"/>
      </w:pPr>
      <w:r>
        <w:separator/>
      </w:r>
    </w:p>
  </w:endnote>
  <w:endnote w:type="continuationSeparator" w:id="0">
    <w:p w14:paraId="74CE5595" w14:textId="77777777" w:rsidR="00213E83" w:rsidRDefault="00213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Noto Sans">
    <w:altName w:val="Arial"/>
    <w:charset w:val="00"/>
    <w:family w:val="swiss"/>
    <w:pitch w:val="variable"/>
    <w:sig w:usb0="00000001" w:usb1="400078FF" w:usb2="00000021" w:usb3="00000000" w:csb0="0000019F" w:csb1="00000000"/>
  </w:font>
  <w:font w:name="Calibri">
    <w:panose1 w:val="020F0502020204030204"/>
    <w:charset w:val="A1"/>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EB Garamond">
    <w:altName w:val="Cambria Math"/>
    <w:charset w:val="00"/>
    <w:family w:val="auto"/>
    <w:pitch w:val="variable"/>
    <w:sig w:usb0="00000001" w:usb1="020004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BD1B6C" w14:textId="77777777" w:rsidR="003F0957" w:rsidRDefault="001269E1" w:rsidP="00F765F7">
    <w:pPr>
      <w:pStyle w:val="a6"/>
    </w:pPr>
    <w:r>
      <w:rPr>
        <w:color w:val="8A776A"/>
        <w:sz w:val="14"/>
      </w:rPr>
      <w:t xml:space="preserve">PhD Symposium </w:t>
    </w:r>
    <w:proofErr w:type="gramStart"/>
    <w:r>
      <w:rPr>
        <w:color w:val="8A776A"/>
        <w:sz w:val="14"/>
      </w:rPr>
      <w:t>2026  •</w:t>
    </w:r>
    <w:proofErr w:type="gramEnd"/>
    <w:r>
      <w:rPr>
        <w:color w:val="8A776A"/>
        <w:sz w:val="14"/>
      </w:rPr>
      <w:t xml:space="preserve">  Division of Literature &amp; Culture  •  NKUA</w:t>
    </w:r>
    <w:r w:rsidR="00016607">
      <w:rPr>
        <w:color w:val="8A776A"/>
        <w:sz w:val="14"/>
      </w:rPr>
      <w:t xml:space="preserve">                                                                         </w:t>
    </w:r>
    <w:r w:rsidR="00026349">
      <w:rPr>
        <w:color w:val="8A776A"/>
        <w:sz w:val="14"/>
      </w:rPr>
      <w:t xml:space="preserve">                                            </w:t>
    </w:r>
    <w:r w:rsidR="00016607">
      <w:rPr>
        <w:color w:val="8A776A"/>
        <w:sz w:val="14"/>
      </w:rPr>
      <w:t xml:space="preserve">               </w:t>
    </w:r>
    <w:r w:rsidR="00026349">
      <w:rPr>
        <w:color w:val="8A776A"/>
        <w:sz w:val="14"/>
        <w:lang w:val="en-GB"/>
      </w:rPr>
      <w:t>Page</w:t>
    </w:r>
    <w:r w:rsidR="00026349" w:rsidRPr="00026349">
      <w:rPr>
        <w:color w:val="8A776A"/>
        <w:sz w:val="14"/>
      </w:rPr>
      <w:t xml:space="preserve"> </w:t>
    </w:r>
    <w:r w:rsidR="00026349" w:rsidRPr="00026349">
      <w:rPr>
        <w:b/>
        <w:bCs/>
        <w:color w:val="8A776A"/>
        <w:sz w:val="14"/>
      </w:rPr>
      <w:fldChar w:fldCharType="begin"/>
    </w:r>
    <w:r w:rsidR="00026349" w:rsidRPr="00026349">
      <w:rPr>
        <w:b/>
        <w:bCs/>
        <w:color w:val="8A776A"/>
        <w:sz w:val="14"/>
      </w:rPr>
      <w:instrText>PAGE  \* Arabic  \* MERGEFORMAT</w:instrText>
    </w:r>
    <w:r w:rsidR="00026349" w:rsidRPr="00026349">
      <w:rPr>
        <w:b/>
        <w:bCs/>
        <w:color w:val="8A776A"/>
        <w:sz w:val="14"/>
      </w:rPr>
      <w:fldChar w:fldCharType="separate"/>
    </w:r>
    <w:r w:rsidR="00A97C17">
      <w:rPr>
        <w:b/>
        <w:bCs/>
        <w:noProof/>
        <w:color w:val="8A776A"/>
        <w:sz w:val="14"/>
      </w:rPr>
      <w:t>1</w:t>
    </w:r>
    <w:r w:rsidR="00026349" w:rsidRPr="00026349">
      <w:rPr>
        <w:b/>
        <w:bCs/>
        <w:color w:val="8A776A"/>
        <w:sz w:val="14"/>
      </w:rPr>
      <w:fldChar w:fldCharType="end"/>
    </w:r>
    <w:r w:rsidR="00026349" w:rsidRPr="00026349">
      <w:rPr>
        <w:color w:val="8A776A"/>
        <w:sz w:val="14"/>
      </w:rPr>
      <w:t xml:space="preserve"> </w:t>
    </w:r>
    <w:r w:rsidR="00026349">
      <w:rPr>
        <w:color w:val="8A776A"/>
        <w:sz w:val="14"/>
      </w:rPr>
      <w:t>|</w:t>
    </w:r>
    <w:r w:rsidR="00026349" w:rsidRPr="00026349">
      <w:rPr>
        <w:color w:val="8A776A"/>
        <w:sz w:val="14"/>
      </w:rPr>
      <w:fldChar w:fldCharType="begin"/>
    </w:r>
    <w:r w:rsidR="00026349" w:rsidRPr="00026349">
      <w:rPr>
        <w:color w:val="8A776A"/>
        <w:sz w:val="14"/>
      </w:rPr>
      <w:instrText>NUMPAGES  \* Arabic  \* MERGEFORMAT</w:instrText>
    </w:r>
    <w:r w:rsidR="00026349" w:rsidRPr="00026349">
      <w:rPr>
        <w:color w:val="8A776A"/>
        <w:sz w:val="14"/>
      </w:rPr>
      <w:fldChar w:fldCharType="separate"/>
    </w:r>
    <w:r w:rsidR="00A97C17">
      <w:rPr>
        <w:noProof/>
        <w:color w:val="8A776A"/>
        <w:sz w:val="14"/>
      </w:rPr>
      <w:t>16</w:t>
    </w:r>
    <w:r w:rsidR="00026349" w:rsidRPr="00026349">
      <w:rPr>
        <w:color w:val="8A776A"/>
        <w:sz w:val="14"/>
      </w:rPr>
      <w:fldChar w:fldCharType="end"/>
    </w:r>
    <w:r w:rsidR="00016607">
      <w:rPr>
        <w:color w:val="8A776A"/>
        <w:sz w:val="1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FF5A8C" w14:textId="77777777" w:rsidR="00213E83" w:rsidRDefault="00213E83">
      <w:pPr>
        <w:spacing w:after="0" w:line="240" w:lineRule="auto"/>
      </w:pPr>
      <w:r>
        <w:separator/>
      </w:r>
    </w:p>
  </w:footnote>
  <w:footnote w:type="continuationSeparator" w:id="0">
    <w:p w14:paraId="77F58EDF" w14:textId="77777777" w:rsidR="00213E83" w:rsidRDefault="00213E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63AB"/>
    <w:rsid w:val="0001533C"/>
    <w:rsid w:val="00016607"/>
    <w:rsid w:val="00026349"/>
    <w:rsid w:val="00034616"/>
    <w:rsid w:val="0006063C"/>
    <w:rsid w:val="001269E1"/>
    <w:rsid w:val="0015074B"/>
    <w:rsid w:val="001538C5"/>
    <w:rsid w:val="00193974"/>
    <w:rsid w:val="00195C54"/>
    <w:rsid w:val="00213E83"/>
    <w:rsid w:val="00217F5E"/>
    <w:rsid w:val="002222CD"/>
    <w:rsid w:val="00241DA5"/>
    <w:rsid w:val="00264CBC"/>
    <w:rsid w:val="002765C6"/>
    <w:rsid w:val="0029639D"/>
    <w:rsid w:val="00302F22"/>
    <w:rsid w:val="00326F90"/>
    <w:rsid w:val="00347356"/>
    <w:rsid w:val="003561FE"/>
    <w:rsid w:val="00392841"/>
    <w:rsid w:val="003A1E81"/>
    <w:rsid w:val="003E3BC4"/>
    <w:rsid w:val="003F0957"/>
    <w:rsid w:val="0040421A"/>
    <w:rsid w:val="00452988"/>
    <w:rsid w:val="004B3757"/>
    <w:rsid w:val="004F414F"/>
    <w:rsid w:val="00530D34"/>
    <w:rsid w:val="00605147"/>
    <w:rsid w:val="00606E55"/>
    <w:rsid w:val="006372F5"/>
    <w:rsid w:val="00671E76"/>
    <w:rsid w:val="006B6C66"/>
    <w:rsid w:val="007F0A2F"/>
    <w:rsid w:val="00827104"/>
    <w:rsid w:val="008552D1"/>
    <w:rsid w:val="008B5567"/>
    <w:rsid w:val="00963338"/>
    <w:rsid w:val="00985227"/>
    <w:rsid w:val="009F789E"/>
    <w:rsid w:val="00A11E5B"/>
    <w:rsid w:val="00A121AA"/>
    <w:rsid w:val="00A72C6A"/>
    <w:rsid w:val="00A97C17"/>
    <w:rsid w:val="00AA1D8D"/>
    <w:rsid w:val="00AE3911"/>
    <w:rsid w:val="00B42E33"/>
    <w:rsid w:val="00B47730"/>
    <w:rsid w:val="00B65041"/>
    <w:rsid w:val="00BA48F0"/>
    <w:rsid w:val="00BA60F7"/>
    <w:rsid w:val="00BE7F43"/>
    <w:rsid w:val="00BF555F"/>
    <w:rsid w:val="00C84155"/>
    <w:rsid w:val="00C868F8"/>
    <w:rsid w:val="00CB0664"/>
    <w:rsid w:val="00D03B09"/>
    <w:rsid w:val="00D04A36"/>
    <w:rsid w:val="00D328BF"/>
    <w:rsid w:val="00D8517B"/>
    <w:rsid w:val="00DA3437"/>
    <w:rsid w:val="00DC0BF0"/>
    <w:rsid w:val="00E5544A"/>
    <w:rsid w:val="00E77872"/>
    <w:rsid w:val="00E96F15"/>
    <w:rsid w:val="00E97497"/>
    <w:rsid w:val="00EC6DB4"/>
    <w:rsid w:val="00F765F7"/>
    <w:rsid w:val="00F859E4"/>
    <w:rsid w:val="00F86873"/>
    <w:rsid w:val="00F93C2D"/>
    <w:rsid w:val="00FC5B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5E82E0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rPr>
      <w:rFonts w:ascii="Noto Sans" w:hAnsi="Noto Sans"/>
      <w:sz w:val="20"/>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εισαγωγικό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rPr>
      <w:rFonts w:ascii="Noto Sans" w:hAnsi="Noto Sans"/>
      <w:sz w:val="20"/>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εισαγωγικό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gallery-weekend-berlin.de/journal/spruth-magers-kara-walker/"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1260A-B32E-486A-BCD8-7446FFC55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3905</Words>
  <Characters>21087</Characters>
  <Application>Microsoft Office Word</Application>
  <DocSecurity>0</DocSecurity>
  <Lines>175</Lines>
  <Paragraphs>49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user2</cp:lastModifiedBy>
  <cp:revision>2</cp:revision>
  <dcterms:created xsi:type="dcterms:W3CDTF">2026-10-12T06:10:00Z</dcterms:created>
  <dcterms:modified xsi:type="dcterms:W3CDTF">2026-10-12T06:10:00Z</dcterms:modified>
</cp:coreProperties>
</file>